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4D" w:rsidRDefault="004E524D" w:rsidP="004E52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Raportul privind implementarea Planului naţional de acţiuni pentru implementarea</w:t>
      </w:r>
    </w:p>
    <w:p w:rsidR="004E524D" w:rsidRDefault="004E524D" w:rsidP="004E52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Acordului de Asociere Republica Moldova – Uniunea Europeană </w:t>
      </w:r>
      <w:r w:rsidR="00247A7C">
        <w:rPr>
          <w:rFonts w:ascii="Times New Roman" w:eastAsia="Times New Roman" w:hAnsi="Times New Roman"/>
          <w:b/>
          <w:sz w:val="24"/>
          <w:szCs w:val="24"/>
        </w:rPr>
        <w:t>în perioada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2014-2016</w:t>
      </w:r>
    </w:p>
    <w:p w:rsidR="004E524D" w:rsidRDefault="004E524D" w:rsidP="004E52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(aprobat prin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Hotărîrea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Guvernului nr.808 din 7 octombrie 2014), </w:t>
      </w:r>
      <w:r w:rsidRPr="004115DD">
        <w:rPr>
          <w:rFonts w:ascii="Times New Roman" w:eastAsia="Times New Roman" w:hAnsi="Times New Roman"/>
          <w:b/>
          <w:i/>
          <w:sz w:val="24"/>
          <w:szCs w:val="24"/>
        </w:rPr>
        <w:t xml:space="preserve">pentru </w:t>
      </w:r>
      <w:r w:rsidR="00247A7C" w:rsidRPr="004115DD">
        <w:rPr>
          <w:rFonts w:ascii="Times New Roman" w:eastAsia="Times New Roman" w:hAnsi="Times New Roman"/>
          <w:b/>
          <w:i/>
          <w:sz w:val="24"/>
          <w:szCs w:val="24"/>
        </w:rPr>
        <w:t xml:space="preserve">trimestrul I al </w:t>
      </w:r>
      <w:r w:rsidRPr="004115DD">
        <w:rPr>
          <w:rFonts w:ascii="Times New Roman" w:eastAsia="Times New Roman" w:hAnsi="Times New Roman"/>
          <w:b/>
          <w:i/>
          <w:sz w:val="24"/>
          <w:szCs w:val="24"/>
        </w:rPr>
        <w:t>anul</w:t>
      </w:r>
      <w:r w:rsidR="00247A7C" w:rsidRPr="004115DD">
        <w:rPr>
          <w:rFonts w:ascii="Times New Roman" w:eastAsia="Times New Roman" w:hAnsi="Times New Roman"/>
          <w:b/>
          <w:i/>
          <w:sz w:val="24"/>
          <w:szCs w:val="24"/>
        </w:rPr>
        <w:t>ui</w:t>
      </w:r>
      <w:r w:rsidRPr="004115DD">
        <w:rPr>
          <w:rFonts w:ascii="Times New Roman" w:eastAsia="Times New Roman" w:hAnsi="Times New Roman"/>
          <w:b/>
          <w:i/>
          <w:sz w:val="24"/>
          <w:szCs w:val="24"/>
        </w:rPr>
        <w:t xml:space="preserve"> 201</w:t>
      </w:r>
      <w:r w:rsidR="004A059F" w:rsidRPr="004115DD">
        <w:rPr>
          <w:rFonts w:ascii="Times New Roman" w:eastAsia="Times New Roman" w:hAnsi="Times New Roman"/>
          <w:b/>
          <w:i/>
          <w:sz w:val="24"/>
          <w:szCs w:val="24"/>
        </w:rPr>
        <w:t>6</w:t>
      </w:r>
    </w:p>
    <w:p w:rsidR="004E524D" w:rsidRDefault="004E524D" w:rsidP="004E52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524D" w:rsidRDefault="004E524D" w:rsidP="004E524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4951" w:type="pct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2416"/>
        <w:gridCol w:w="2126"/>
        <w:gridCol w:w="2196"/>
        <w:gridCol w:w="1377"/>
        <w:gridCol w:w="1206"/>
        <w:gridCol w:w="4723"/>
      </w:tblGrid>
      <w:tr w:rsidR="00264952" w:rsidTr="004E78B6">
        <w:trPr>
          <w:tblHeader/>
          <w:jc w:val="center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1CA3" w:rsidRDefault="000C1CA3" w:rsidP="0004246F">
            <w:pPr>
              <w:spacing w:after="0" w:line="240" w:lineRule="auto"/>
              <w:ind w:left="-108" w:right="-16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</w:t>
            </w:r>
            <w:r w:rsidR="00AC072C">
              <w:rPr>
                <w:rFonts w:ascii="Times New Roman" w:eastAsia="Times New Roman" w:hAnsi="Times New Roman"/>
                <w:b/>
              </w:rPr>
              <w:t>r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arti</w:t>
            </w:r>
            <w:proofErr w:type="spellEnd"/>
            <w:r w:rsidR="00323054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colului</w:t>
            </w:r>
          </w:p>
          <w:p w:rsidR="000C1CA3" w:rsidRDefault="000C1CA3" w:rsidP="0004246F">
            <w:pPr>
              <w:spacing w:after="0" w:line="240" w:lineRule="auto"/>
              <w:ind w:left="-108" w:right="-16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din Acord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CA3" w:rsidRDefault="000C1CA3" w:rsidP="00BD3242">
            <w:pPr>
              <w:spacing w:after="0" w:line="240" w:lineRule="auto"/>
              <w:ind w:left="-46" w:right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Prevederile</w:t>
            </w:r>
          </w:p>
          <w:p w:rsidR="000C1CA3" w:rsidRDefault="000C1CA3" w:rsidP="00BD3242">
            <w:pPr>
              <w:spacing w:after="0" w:line="240" w:lineRule="auto"/>
              <w:ind w:left="-46" w:right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Acordului de Asociere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3054" w:rsidRDefault="00323054" w:rsidP="00AC072C">
            <w:pPr>
              <w:spacing w:after="0" w:line="240" w:lineRule="auto"/>
              <w:ind w:left="-46" w:right="33"/>
              <w:jc w:val="center"/>
              <w:rPr>
                <w:rFonts w:ascii="Times New Roman" w:hAnsi="Times New Roman"/>
                <w:b/>
              </w:rPr>
            </w:pPr>
          </w:p>
          <w:p w:rsidR="00AC072C" w:rsidRPr="00F265C8" w:rsidRDefault="00AC072C" w:rsidP="00AC072C">
            <w:pPr>
              <w:spacing w:after="0" w:line="240" w:lineRule="auto"/>
              <w:ind w:left="-46" w:right="33"/>
              <w:jc w:val="center"/>
              <w:rPr>
                <w:rFonts w:ascii="Times New Roman" w:hAnsi="Times New Roman"/>
                <w:b/>
              </w:rPr>
            </w:pPr>
            <w:r w:rsidRPr="00F265C8">
              <w:rPr>
                <w:rFonts w:ascii="Times New Roman" w:hAnsi="Times New Roman"/>
                <w:b/>
              </w:rPr>
              <w:t>Priorităţile</w:t>
            </w:r>
          </w:p>
          <w:p w:rsidR="00AC072C" w:rsidRPr="00F265C8" w:rsidRDefault="00AC072C" w:rsidP="00AC072C">
            <w:pPr>
              <w:spacing w:after="0" w:line="240" w:lineRule="auto"/>
              <w:ind w:left="-46" w:right="33"/>
              <w:jc w:val="center"/>
              <w:rPr>
                <w:rFonts w:ascii="Times New Roman" w:hAnsi="Times New Roman"/>
                <w:b/>
              </w:rPr>
            </w:pPr>
            <w:r w:rsidRPr="00F265C8">
              <w:rPr>
                <w:rFonts w:ascii="Times New Roman" w:hAnsi="Times New Roman"/>
                <w:b/>
              </w:rPr>
              <w:t xml:space="preserve">Agendei </w:t>
            </w:r>
          </w:p>
          <w:p w:rsidR="000C1CA3" w:rsidRDefault="004E78B6" w:rsidP="0032305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AC072C" w:rsidRPr="00F265C8">
              <w:rPr>
                <w:rFonts w:ascii="Times New Roman" w:hAnsi="Times New Roman"/>
                <w:b/>
              </w:rPr>
              <w:t>de Asociere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1CA3" w:rsidRDefault="000C1CA3" w:rsidP="00790CC5">
            <w:pPr>
              <w:spacing w:after="0" w:line="240" w:lineRule="auto"/>
              <w:ind w:left="-46" w:right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Măsurile de implementare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1CA3" w:rsidRDefault="000C1CA3" w:rsidP="00790CC5">
            <w:pPr>
              <w:spacing w:after="0" w:line="240" w:lineRule="auto"/>
              <w:ind w:left="-46" w:right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Instituţii responsabile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1CA3" w:rsidRDefault="000C1CA3" w:rsidP="00790CC5">
            <w:pPr>
              <w:spacing w:after="0" w:line="240" w:lineRule="auto"/>
              <w:ind w:left="-46" w:right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Termenul de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implemen-tare</w:t>
            </w:r>
            <w:proofErr w:type="spellEnd"/>
          </w:p>
        </w:tc>
        <w:tc>
          <w:tcPr>
            <w:tcW w:w="16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1CA3" w:rsidRDefault="000C1CA3" w:rsidP="00790CC5">
            <w:pPr>
              <w:spacing w:after="0" w:line="240" w:lineRule="auto"/>
              <w:ind w:left="-46" w:right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Acţiuni întreprinse pentru implementare</w:t>
            </w:r>
          </w:p>
        </w:tc>
      </w:tr>
    </w:tbl>
    <w:p w:rsidR="004E524D" w:rsidRDefault="004E524D" w:rsidP="004E524D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410"/>
        <w:gridCol w:w="2124"/>
        <w:gridCol w:w="2271"/>
        <w:gridCol w:w="1278"/>
        <w:gridCol w:w="1276"/>
        <w:gridCol w:w="4680"/>
        <w:gridCol w:w="3085"/>
      </w:tblGrid>
      <w:tr w:rsidR="00694860" w:rsidTr="00371BC6">
        <w:trPr>
          <w:gridAfter w:val="1"/>
          <w:wAfter w:w="3085" w:type="dxa"/>
          <w:tblHeader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4860" w:rsidRDefault="00694860" w:rsidP="00790CC5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4860" w:rsidRDefault="00694860" w:rsidP="00790CC5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4860" w:rsidRDefault="00694860" w:rsidP="00790CC5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4860" w:rsidRDefault="00694860" w:rsidP="00790C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94860" w:rsidRDefault="00694860" w:rsidP="00694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4860" w:rsidRDefault="00694860" w:rsidP="00790CC5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4860" w:rsidRDefault="00694860" w:rsidP="00790CC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694860" w:rsidRPr="004C6889" w:rsidTr="00DC62EB">
        <w:trPr>
          <w:gridAfter w:val="1"/>
          <w:wAfter w:w="3085" w:type="dxa"/>
          <w:trHeight w:val="384"/>
        </w:trPr>
        <w:tc>
          <w:tcPr>
            <w:tcW w:w="147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0" w:rsidRPr="00E66DA7" w:rsidRDefault="00694860" w:rsidP="00790CC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</w:rPr>
            </w:pPr>
            <w:r w:rsidRPr="00E66DA7">
              <w:rPr>
                <w:rFonts w:ascii="Times New Roman" w:eastAsia="SimSun" w:hAnsi="Times New Roman"/>
                <w:b/>
              </w:rPr>
              <w:t>CAPITOLUL 23. COOPERAREA ÎN MATERIE DE ÎNVĂŢĂMÎNT, FORMARE, MULTILINGVISM, TINERET ŞI SPORT</w:t>
            </w:r>
          </w:p>
        </w:tc>
      </w:tr>
      <w:tr w:rsidR="005B530B" w:rsidRPr="004C6889" w:rsidTr="00371BC6">
        <w:trPr>
          <w:gridAfter w:val="1"/>
          <w:wAfter w:w="3085" w:type="dxa"/>
          <w:trHeight w:val="263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  <w:r w:rsidRPr="00E66DA7">
              <w:rPr>
                <w:rFonts w:ascii="Times New Roman" w:eastAsia="SimSun" w:hAnsi="Times New Roman"/>
                <w:b/>
                <w:iCs/>
              </w:rPr>
              <w:t>125</w:t>
            </w: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813FF7" w:rsidRDefault="00813FF7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  <w:p w:rsidR="008F6421" w:rsidRDefault="008F6421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126</w:t>
            </w:r>
          </w:p>
          <w:p w:rsidR="005B530B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  <w:p w:rsidR="005B530B" w:rsidRPr="00E66DA7" w:rsidRDefault="005B530B" w:rsidP="00790C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SimSun" w:hAnsi="Times New Roman"/>
                <w:b/>
                <w:i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Părţile convin să 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coopereze în 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domeniul tineretului 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pentru: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(a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) Întărirea cooperării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şi schimbărilor în 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domeniul politicii în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materie de tineret şi al educaţiei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nonformale</w:t>
            </w:r>
            <w:proofErr w:type="spellEnd"/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pentru tineri şi pentru animatorii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socio-</w:t>
            </w:r>
            <w:proofErr w:type="spellEnd"/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educativi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(b)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Facilitarea</w:t>
            </w:r>
          </w:p>
          <w:p w:rsidR="005B530B" w:rsidRDefault="005B530B" w:rsidP="001028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participării active a</w:t>
            </w:r>
          </w:p>
          <w:p w:rsidR="005B530B" w:rsidRDefault="005B530B" w:rsidP="00790CC5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tuturor tinerilor la </w:t>
            </w:r>
          </w:p>
          <w:p w:rsidR="005B530B" w:rsidRDefault="005B530B" w:rsidP="00790CC5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viaţa socială</w:t>
            </w:r>
          </w:p>
          <w:p w:rsidR="005B530B" w:rsidRDefault="005B530B" w:rsidP="00790CC5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(c)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Susţinerea tinerilor </w:t>
            </w: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şi mobilitatea</w:t>
            </w: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animatorilor socio-educativi ca un mijloc </w:t>
            </w: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menit să promoveze dialogul intercultural</w:t>
            </w: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şi acumularea de cunoştinţe, aptitudini şi competenţe în afara sistemelor educaţionale formale, inclusiv prin intermediul </w:t>
            </w: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voluntariatului</w:t>
            </w:r>
          </w:p>
          <w:p w:rsidR="00487080" w:rsidRDefault="00487080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(d)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ab/>
              <w:t>Promovarea cooperării între</w:t>
            </w:r>
          </w:p>
          <w:p w:rsidR="005B530B" w:rsidRDefault="005B530B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organizaţiile de tineret</w:t>
            </w:r>
            <w:r w:rsidR="00D6662F">
              <w:rPr>
                <w:rFonts w:ascii="Times New Roman" w:eastAsia="SimSun" w:hAnsi="Times New Roman"/>
                <w:sz w:val="24"/>
                <w:szCs w:val="24"/>
              </w:rPr>
              <w:t xml:space="preserve"> î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n vederea sprijinirii </w:t>
            </w:r>
            <w:r w:rsidR="00BF0FEF">
              <w:rPr>
                <w:rFonts w:ascii="Times New Roman" w:eastAsia="SimSun" w:hAnsi="Times New Roman"/>
                <w:sz w:val="24"/>
                <w:szCs w:val="24"/>
              </w:rPr>
              <w:t>societății</w:t>
            </w:r>
            <w:r w:rsidR="00D6662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civile</w:t>
            </w:r>
          </w:p>
          <w:p w:rsidR="001028B6" w:rsidRDefault="001028B6" w:rsidP="0048708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59591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59591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595914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35E07" w:rsidRDefault="00C35E07" w:rsidP="00BC3F5E">
            <w:pPr>
              <w:spacing w:line="240" w:lineRule="auto"/>
              <w:rPr>
                <w:rFonts w:ascii="Times New Roman" w:eastAsia="SimSun" w:hAnsi="Times New Roman"/>
              </w:rPr>
            </w:pPr>
          </w:p>
          <w:p w:rsidR="00813FF7" w:rsidRDefault="00813FF7" w:rsidP="00BB558A">
            <w:pPr>
              <w:spacing w:line="240" w:lineRule="auto"/>
              <w:jc w:val="both"/>
              <w:rPr>
                <w:rFonts w:ascii="Times New Roman" w:eastAsia="SimSun" w:hAnsi="Times New Roman"/>
              </w:rPr>
            </w:pPr>
          </w:p>
          <w:p w:rsidR="008F6421" w:rsidRDefault="008F6421" w:rsidP="00BB558A">
            <w:pPr>
              <w:spacing w:line="240" w:lineRule="auto"/>
              <w:jc w:val="both"/>
              <w:rPr>
                <w:rFonts w:ascii="Times New Roman" w:eastAsia="SimSun" w:hAnsi="Times New Roman"/>
              </w:rPr>
            </w:pPr>
          </w:p>
          <w:p w:rsidR="005B530B" w:rsidRPr="00F265C8" w:rsidRDefault="005B530B" w:rsidP="00BB558A">
            <w:pPr>
              <w:spacing w:line="240" w:lineRule="auto"/>
              <w:jc w:val="both"/>
              <w:rPr>
                <w:rFonts w:ascii="Times New Roman" w:eastAsia="SimSun" w:hAnsi="Times New Roman"/>
              </w:rPr>
            </w:pPr>
            <w:r w:rsidRPr="00F265C8">
              <w:rPr>
                <w:rFonts w:ascii="Times New Roman" w:eastAsia="SimSun" w:hAnsi="Times New Roman"/>
              </w:rPr>
              <w:t>Părțile promovează cooperarea în domeniul activităților sportive și fizice prin intermediul schimbului de informații și de bune practici pentru a susține un stil de viață sănătos, valorile sociale și educative ale sportului și buna guvernanță în sport în cadrul societăților din UE și din Republica Moldova</w:t>
            </w:r>
          </w:p>
          <w:p w:rsidR="005B530B" w:rsidRDefault="005B530B" w:rsidP="002D3393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2D33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530B" w:rsidRPr="0085266F" w:rsidRDefault="005B530B" w:rsidP="0059591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5266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2.4. Cooperarea economică</w:t>
            </w:r>
          </w:p>
          <w:p w:rsidR="005B530B" w:rsidRPr="0085266F" w:rsidRDefault="005B530B" w:rsidP="0059591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85266F">
              <w:rPr>
                <w:rFonts w:ascii="Times New Roman" w:eastAsia="SimSun" w:hAnsi="Times New Roman"/>
                <w:i/>
                <w:sz w:val="24"/>
                <w:szCs w:val="24"/>
              </w:rPr>
              <w:t>Educaţie, instruire şi tineret</w:t>
            </w:r>
          </w:p>
          <w:p w:rsidR="005B530B" w:rsidRPr="0085266F" w:rsidRDefault="005B530B" w:rsidP="0059591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5266F">
              <w:rPr>
                <w:rFonts w:ascii="Times New Roman" w:eastAsia="SimSun" w:hAnsi="Times New Roman"/>
                <w:sz w:val="24"/>
                <w:szCs w:val="24"/>
              </w:rPr>
              <w:t xml:space="preserve">- Încurajarea abordării strategice faţă de politica cu privire la tineret şi îmbunătăţirea schimburilor şi cooperării în domeniul educaţiei neformale pentru tineret şi muncitorii tineri, drept mijloc de promovare a dialogului intercultural, şi susţinerea societăţii civile, inter alia, </w:t>
            </w:r>
            <w:r w:rsidRPr="0085266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prin intermediul programelor UE în domeniul tineretului</w:t>
            </w: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B93578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813FF7" w:rsidRDefault="00813FF7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</w:p>
          <w:p w:rsidR="005B530B" w:rsidRDefault="005B530B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  <w:r w:rsidRPr="00E3665B">
              <w:rPr>
                <w:rFonts w:ascii="Times New Roman" w:eastAsia="SimSun" w:hAnsi="Times New Roman"/>
                <w:lang w:val="it-IT"/>
              </w:rPr>
              <w:t>2.4. Cooperarea economică</w:t>
            </w:r>
          </w:p>
          <w:p w:rsidR="00830DF7" w:rsidRDefault="00830DF7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</w:p>
          <w:p w:rsidR="005B530B" w:rsidRDefault="005B530B" w:rsidP="00BC3F5E">
            <w:pPr>
              <w:spacing w:after="0" w:line="240" w:lineRule="auto"/>
              <w:rPr>
                <w:rFonts w:ascii="Times New Roman" w:eastAsia="SimSun" w:hAnsi="Times New Roman"/>
                <w:i/>
                <w:lang w:val="it-IT"/>
              </w:rPr>
            </w:pPr>
            <w:r w:rsidRPr="00E3665B">
              <w:rPr>
                <w:rFonts w:ascii="Times New Roman" w:eastAsia="SimSun" w:hAnsi="Times New Roman"/>
                <w:i/>
                <w:lang w:val="it-IT"/>
              </w:rPr>
              <w:t>Educație, instruire și tineret</w:t>
            </w:r>
          </w:p>
          <w:p w:rsidR="00830DF7" w:rsidRPr="00E3665B" w:rsidRDefault="00830DF7" w:rsidP="00BC3F5E">
            <w:pPr>
              <w:spacing w:after="0" w:line="240" w:lineRule="auto"/>
              <w:rPr>
                <w:rFonts w:ascii="Times New Roman" w:eastAsia="SimSun" w:hAnsi="Times New Roman"/>
                <w:i/>
                <w:lang w:val="it-IT"/>
              </w:rPr>
            </w:pPr>
          </w:p>
          <w:p w:rsidR="005339EC" w:rsidRDefault="005B530B" w:rsidP="00015CAB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it-IT"/>
              </w:rPr>
            </w:pPr>
            <w:r w:rsidRPr="00E3665B">
              <w:rPr>
                <w:rFonts w:ascii="Times New Roman" w:eastAsia="SimSun" w:hAnsi="Times New Roman"/>
                <w:lang w:val="it-IT"/>
              </w:rPr>
              <w:t>- Încurajarea abordării strategice față de politica cu privire la tineret și îmbunătățirea schimburilor și cooperării în domeniul educației neformale pentru tineret și muncitorii tineri, drept mijloc de promovare a dialogului intercultural, și susținerea societății civile, prin intermediul programelor UE în domeniul tineretului</w:t>
            </w:r>
          </w:p>
          <w:p w:rsidR="005339EC" w:rsidRDefault="005339EC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</w:p>
          <w:p w:rsidR="005339EC" w:rsidRDefault="005339EC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</w:p>
          <w:p w:rsidR="005339EC" w:rsidRDefault="005339EC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</w:p>
          <w:p w:rsidR="00D62C4A" w:rsidRDefault="00D62C4A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</w:p>
          <w:p w:rsidR="00D62C4A" w:rsidRDefault="00D62C4A" w:rsidP="00BC3F5E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</w:p>
          <w:p w:rsidR="00813FF7" w:rsidRDefault="00813FF7" w:rsidP="00BC3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30B" w:rsidRPr="00504AF7" w:rsidRDefault="005B530B" w:rsidP="00595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AF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1. Definitivarea şi promovarea proiectului de lege cu privire la tineret</w:t>
            </w:r>
          </w:p>
          <w:p w:rsidR="005B530B" w:rsidRDefault="005B530B" w:rsidP="00595914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Pr="00182A34" w:rsidRDefault="005B530B" w:rsidP="00595914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B530B" w:rsidRDefault="005B530B" w:rsidP="00595914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6. </w:t>
            </w:r>
            <w:r w:rsidRPr="00504AF7">
              <w:rPr>
                <w:rFonts w:ascii="Times New Roman" w:eastAsia="SimSun" w:hAnsi="Times New Roman"/>
                <w:sz w:val="24"/>
                <w:szCs w:val="24"/>
              </w:rPr>
              <w:t xml:space="preserve">Derularea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unui </w:t>
            </w:r>
            <w:r w:rsidRPr="00504AF7">
              <w:rPr>
                <w:rFonts w:ascii="Times New Roman" w:eastAsia="SimSun" w:hAnsi="Times New Roman"/>
                <w:sz w:val="24"/>
                <w:szCs w:val="24"/>
              </w:rPr>
              <w:t>Program de granturi dedicat dezvoltării sectorului neguvernamental de tineret, pentru a consolida cooperarea cu societatea civilă</w:t>
            </w: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Pr="00504AF7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Pr="00504AF7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595914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Pr="00504AF7" w:rsidRDefault="00923929" w:rsidP="00595914">
            <w:pPr>
              <w:tabs>
                <w:tab w:val="left" w:pos="290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="005B530B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5B530B" w:rsidRPr="00504AF7">
              <w:rPr>
                <w:rFonts w:ascii="Times New Roman" w:eastAsia="SimSun" w:hAnsi="Times New Roman"/>
                <w:sz w:val="24"/>
                <w:szCs w:val="24"/>
              </w:rPr>
              <w:t>. Implementarea proiectelor comune cu statele membre ale UE în vederea dezvoltării sectorului de tineret</w:t>
            </w: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B9357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5B530B" w:rsidP="00595914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F6421" w:rsidRDefault="008F6421" w:rsidP="00595914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Pr="00182A34" w:rsidRDefault="005B530B" w:rsidP="00F06874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04AF7">
              <w:rPr>
                <w:rFonts w:ascii="Times New Roman" w:hAnsi="Times New Roman"/>
                <w:sz w:val="24"/>
                <w:szCs w:val="24"/>
              </w:rPr>
              <w:t xml:space="preserve">. Realizarea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eveni</w:t>
            </w:r>
            <w:r w:rsidR="00E820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="00E8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mentelor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</w:rPr>
              <w:t xml:space="preserve"> şi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progra</w:t>
            </w:r>
            <w:proofErr w:type="spellEnd"/>
            <w:r w:rsidR="00E8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207D">
              <w:rPr>
                <w:rFonts w:ascii="Times New Roman" w:hAnsi="Times New Roman"/>
                <w:sz w:val="24"/>
                <w:szCs w:val="24"/>
              </w:rPr>
              <w:t>-</w:t>
            </w:r>
            <w:r w:rsidRPr="00504AF7">
              <w:rPr>
                <w:rFonts w:ascii="Times New Roman" w:hAnsi="Times New Roman"/>
                <w:sz w:val="24"/>
                <w:szCs w:val="24"/>
              </w:rPr>
              <w:t>melor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</w:rPr>
              <w:t xml:space="preserve"> de facilitare a integrării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profesio</w:t>
            </w:r>
            <w:r w:rsidR="00E820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="00E8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nale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</w:rPr>
              <w:t xml:space="preserve"> a tinerilor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reîn</w:t>
            </w:r>
            <w:r w:rsidR="00E820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="00E8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AF7">
              <w:rPr>
                <w:rFonts w:ascii="Times New Roman" w:hAnsi="Times New Roman"/>
                <w:sz w:val="24"/>
                <w:szCs w:val="24"/>
              </w:rPr>
              <w:t xml:space="preserve">torşi de la studii de peste hotare, a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schim</w:t>
            </w:r>
            <w:proofErr w:type="spellEnd"/>
            <w:r w:rsidR="00E8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</w:rPr>
              <w:t>bului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</w:rPr>
              <w:t xml:space="preserve"> de experienţă şi cunoştinţe dintre diverse grupuri de </w:t>
            </w:r>
            <w:r w:rsidRPr="00504AF7">
              <w:rPr>
                <w:rFonts w:ascii="Times New Roman" w:hAnsi="Times New Roman"/>
                <w:sz w:val="24"/>
                <w:szCs w:val="24"/>
              </w:rPr>
              <w:lastRenderedPageBreak/>
              <w:t>tineri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530B" w:rsidRDefault="005B530B" w:rsidP="00F0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Ministerul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Tineretu-</w:t>
            </w:r>
            <w:proofErr w:type="spellEnd"/>
          </w:p>
          <w:p w:rsidR="005B530B" w:rsidRDefault="005B530B" w:rsidP="00F0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 și Sportului</w:t>
            </w:r>
          </w:p>
          <w:p w:rsidR="005B530B" w:rsidRDefault="005B530B" w:rsidP="00F0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30B" w:rsidRDefault="005B530B" w:rsidP="00F0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30B" w:rsidRDefault="005B530B" w:rsidP="00F0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Tineretu-</w:t>
            </w:r>
            <w:proofErr w:type="spellEnd"/>
          </w:p>
          <w:p w:rsidR="005B530B" w:rsidRDefault="005B530B" w:rsidP="00F0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 și Sportului</w:t>
            </w: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Tineretu-</w:t>
            </w:r>
            <w:proofErr w:type="spellEnd"/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 și Sportului</w:t>
            </w: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Tineretu-</w:t>
            </w:r>
            <w:proofErr w:type="spellEnd"/>
          </w:p>
          <w:p w:rsidR="00BB77C2" w:rsidRDefault="00BB77C2" w:rsidP="004B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 și Sportului</w:t>
            </w:r>
          </w:p>
          <w:p w:rsidR="00BB77C2" w:rsidRDefault="00BB77C2" w:rsidP="00BB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C2" w:rsidRPr="00182A34" w:rsidRDefault="00BB77C2" w:rsidP="00CA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530B" w:rsidRPr="00182A34" w:rsidRDefault="005B530B" w:rsidP="0015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2016</w:t>
            </w:r>
          </w:p>
          <w:p w:rsidR="005B530B" w:rsidRDefault="005B530B" w:rsidP="00790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530B" w:rsidRDefault="005B530B" w:rsidP="00790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530B" w:rsidRDefault="005B530B" w:rsidP="00790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530B" w:rsidRDefault="005B530B" w:rsidP="00790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530B" w:rsidRDefault="005B530B" w:rsidP="00B43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B530B" w:rsidRPr="00182A34" w:rsidRDefault="005B530B" w:rsidP="00B43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2014- 2016</w:t>
            </w:r>
          </w:p>
          <w:p w:rsidR="005B530B" w:rsidRDefault="005B530B" w:rsidP="00BC4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530B" w:rsidRPr="006A055C" w:rsidRDefault="005B530B" w:rsidP="00790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30B" w:rsidRDefault="0085287D" w:rsidP="0001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   </w:t>
            </w:r>
            <w:proofErr w:type="spellStart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Pe</w:t>
            </w:r>
            <w:proofErr w:type="spellEnd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parcursul</w:t>
            </w:r>
            <w:proofErr w:type="spellEnd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trimestrului</w:t>
            </w:r>
            <w:proofErr w:type="spellEnd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I al </w:t>
            </w:r>
            <w:proofErr w:type="spellStart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anului</w:t>
            </w:r>
            <w:proofErr w:type="spellEnd"/>
            <w:r w:rsidR="005B53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2016, </w:t>
            </w:r>
          </w:p>
          <w:p w:rsidR="005B530B" w:rsidRPr="00504AF7" w:rsidRDefault="005B530B" w:rsidP="00595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roiectul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Lege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privire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tineret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fost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definitiva</w:t>
            </w:r>
            <w:r w:rsidR="003F6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proofErr w:type="spellEnd"/>
            <w:r w:rsidR="003F6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6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și</w:t>
            </w:r>
            <w:proofErr w:type="spellEnd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04A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înaintat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3F6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data de </w:t>
            </w:r>
            <w:r w:rsidR="003F6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curent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aprobare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B530B" w:rsidRPr="00182A34" w:rsidRDefault="005B530B" w:rsidP="00595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530B" w:rsidRDefault="005B530B" w:rsidP="00595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Ministerul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Tineretului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avînd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promovarea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activităţilor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</w:rPr>
              <w:t>,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apli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B530B" w:rsidRPr="008E4520" w:rsidRDefault="005B530B" w:rsidP="00595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cînd</w:t>
            </w:r>
            <w:proofErr w:type="spellEnd"/>
            <w:proofErr w:type="gram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educaţiei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nonformale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încurajînd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cooperarea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organizaţiile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socie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tăţii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civile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</w:rPr>
              <w:t>,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încheiat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4520">
              <w:rPr>
                <w:rFonts w:ascii="Times New Roman" w:hAnsi="Times New Roman"/>
                <w:sz w:val="24"/>
                <w:szCs w:val="24"/>
              </w:rPr>
              <w:t>la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ianuarie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perioada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depunere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Programul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Granturi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</w:t>
            </w:r>
          </w:p>
          <w:p w:rsidR="005B530B" w:rsidRPr="008E4520" w:rsidRDefault="005B530B" w:rsidP="00595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8E4520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Programul anual de Granturi</w:t>
            </w:r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este dedicat susţinerii şi dezvoltării sectorului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neguverna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mental de tineret din Moldova prin care se ofer</w:t>
            </w:r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ă</w:t>
            </w:r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în bază de concurs, suport logistic şi financiar pentru realizarea iniţiativelor,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progra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melor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şi proiectelor de tineret,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consolidînd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în acest mod cooperarea cu societatea civilă.</w:t>
            </w:r>
          </w:p>
          <w:p w:rsidR="005B530B" w:rsidRPr="008E4520" w:rsidRDefault="005B530B" w:rsidP="0082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rma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desfăşurării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concursului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demarat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procesul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încheiere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contractelor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finanţare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22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organizaţii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</w:rPr>
              <w:t>,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declarate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cîştigătoare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B530B" w:rsidRPr="008E4520" w:rsidRDefault="005B530B" w:rsidP="0082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530B" w:rsidRPr="008E4520" w:rsidRDefault="005B530B" w:rsidP="0082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luna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martie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curent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conducerea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Ministerului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Tineretului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Sportului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avut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înt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î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lnire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lucru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Edgar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Schlummer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director al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Centrului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Estonian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Lucrului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discu</w:t>
            </w:r>
            <w:r w:rsidRPr="008E4520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păr</w:t>
            </w:r>
            <w:r w:rsidRPr="008E4520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identificat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priorită</w:t>
            </w:r>
            <w:r w:rsidRPr="008E4520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comune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Cambria Math" w:hAnsi="Cambria Math" w:cs="Cambria Math"/>
                <w:sz w:val="24"/>
                <w:szCs w:val="24"/>
                <w:lang w:val="en-US"/>
              </w:rPr>
              <w:t>ș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convenit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extind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rela</w:t>
            </w:r>
            <w:r w:rsidRPr="008E4520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iile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colaborare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lucru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A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discutată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posibilitatea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cooperării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pregătirii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lucrătorilor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cît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Cambria Math" w:hAnsi="Cambria Math" w:cs="Cambria Math"/>
                <w:sz w:val="24"/>
                <w:szCs w:val="24"/>
                <w:lang w:val="en-US"/>
              </w:rPr>
              <w:t>ș</w:t>
            </w:r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cooperării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dintre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autorităţile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centrale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cele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locale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B530B" w:rsidRPr="008E4520" w:rsidRDefault="005B530B" w:rsidP="0082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530B" w:rsidRPr="005B1C57" w:rsidRDefault="005B530B" w:rsidP="009C5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Ministerul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>Tineretului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4520">
              <w:rPr>
                <w:rFonts w:ascii="Times New Roman" w:hAnsi="Times New Roman"/>
                <w:sz w:val="24"/>
                <w:szCs w:val="24"/>
              </w:rPr>
              <w:t>şi Sportului a fost parte</w:t>
            </w:r>
            <w:r w:rsidR="00370A5E">
              <w:rPr>
                <w:rFonts w:ascii="Times New Roman" w:hAnsi="Times New Roman"/>
                <w:sz w:val="24"/>
                <w:szCs w:val="24"/>
              </w:rPr>
              <w:t>ne</w:t>
            </w:r>
            <w:r w:rsidRPr="008E4520">
              <w:rPr>
                <w:rFonts w:ascii="Times New Roman" w:hAnsi="Times New Roman"/>
                <w:sz w:val="24"/>
                <w:szCs w:val="24"/>
              </w:rPr>
              <w:t xml:space="preserve">r în cadrul programului pentru promovarea revenirii de peste hotare şi facilitarea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</w:rPr>
              <w:t>reîntegrării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</w:rPr>
              <w:t xml:space="preserve"> în ţara de baştină a tinerilor moldoveni cu studii în străinătate</w:t>
            </w:r>
            <w:r w:rsidR="009C5919">
              <w:rPr>
                <w:rFonts w:ascii="Times New Roman" w:hAnsi="Times New Roman"/>
                <w:sz w:val="24"/>
                <w:szCs w:val="24"/>
              </w:rPr>
              <w:t>.</w:t>
            </w:r>
            <w:r w:rsidRPr="008E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919">
              <w:rPr>
                <w:rFonts w:ascii="Times New Roman" w:hAnsi="Times New Roman"/>
                <w:sz w:val="24"/>
                <w:szCs w:val="24"/>
              </w:rPr>
              <w:t>P</w:t>
            </w:r>
            <w:r w:rsidRPr="008E4520">
              <w:rPr>
                <w:rFonts w:ascii="Times New Roman" w:hAnsi="Times New Roman"/>
                <w:sz w:val="24"/>
                <w:szCs w:val="24"/>
              </w:rPr>
              <w:t xml:space="preserve">rogramul s-a încheiat la data de 15 martie 2015, pe parcursul derulării acestuia 23 de studenţi primesc asistenţă financiară şi informaţională, iar alţi 23 de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</w:rPr>
              <w:t>aplicanţi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</w:rPr>
              <w:t xml:space="preserve"> primesc susţinere informaţională în vederea angajării acestora în </w:t>
            </w:r>
            <w:proofErr w:type="spellStart"/>
            <w:r w:rsidRPr="008E4520">
              <w:rPr>
                <w:rFonts w:ascii="Times New Roman" w:hAnsi="Times New Roman"/>
                <w:sz w:val="24"/>
                <w:szCs w:val="24"/>
              </w:rPr>
              <w:t>cîmpul</w:t>
            </w:r>
            <w:proofErr w:type="spellEnd"/>
            <w:r w:rsidRPr="008E4520">
              <w:rPr>
                <w:rFonts w:ascii="Times New Roman" w:hAnsi="Times New Roman"/>
                <w:sz w:val="24"/>
                <w:szCs w:val="24"/>
              </w:rPr>
              <w:t xml:space="preserve"> muncii în ţara de baştină.</w:t>
            </w:r>
          </w:p>
        </w:tc>
      </w:tr>
      <w:tr w:rsidR="005B530B" w:rsidRPr="004C6889" w:rsidTr="00371BC6">
        <w:trPr>
          <w:gridAfter w:val="1"/>
          <w:wAfter w:w="3085" w:type="dxa"/>
          <w:trHeight w:val="140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0B" w:rsidRDefault="005B530B" w:rsidP="00036C0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0B" w:rsidRDefault="005B530B" w:rsidP="00DB48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0B" w:rsidRDefault="005B530B" w:rsidP="00736B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0B" w:rsidRDefault="005B530B" w:rsidP="008028FD">
            <w:pPr>
              <w:tabs>
                <w:tab w:val="left" w:pos="342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30B" w:rsidRDefault="005B530B" w:rsidP="00790CC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30B" w:rsidRDefault="005B530B" w:rsidP="0020169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30B" w:rsidRPr="006874DF" w:rsidRDefault="005B530B" w:rsidP="000914B1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B530B" w:rsidRPr="004C6889" w:rsidTr="00371BC6">
        <w:trPr>
          <w:gridAfter w:val="1"/>
          <w:wAfter w:w="3085" w:type="dxa"/>
          <w:trHeight w:val="141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0B" w:rsidRDefault="005B530B" w:rsidP="00036C0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0B" w:rsidRDefault="005B530B" w:rsidP="00736B6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0B" w:rsidRDefault="005B530B" w:rsidP="00736B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21" w:rsidRDefault="008F6421" w:rsidP="00BB558A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BB558A" w:rsidP="00BB558A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="005B530B">
              <w:rPr>
                <w:rFonts w:ascii="Times New Roman" w:eastAsia="SimSun" w:hAnsi="Times New Roman"/>
                <w:sz w:val="24"/>
                <w:szCs w:val="24"/>
              </w:rPr>
              <w:t>2. Definitivarea şi adoptarea Strategiei de dezvoltare a culturii fizice şi sportului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7" w:rsidRDefault="00813FF7" w:rsidP="00BB77C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BB77C2" w:rsidRDefault="00BB77C2" w:rsidP="00BB77C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Tineretu-</w:t>
            </w:r>
            <w:proofErr w:type="spellEnd"/>
          </w:p>
          <w:p w:rsidR="005B530B" w:rsidRDefault="00BB77C2" w:rsidP="00BB77C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lui şi Sportului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7" w:rsidRDefault="00813FF7" w:rsidP="0020169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B530B" w:rsidRDefault="0000221E" w:rsidP="0020169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Trim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. IV,</w:t>
            </w:r>
          </w:p>
          <w:p w:rsidR="0000221E" w:rsidRDefault="0000221E" w:rsidP="0020169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2016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7" w:rsidRDefault="00910029" w:rsidP="00EE5DF9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5B530B" w:rsidRDefault="00312C5C" w:rsidP="00EE5DF9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fost elaborat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draftul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Strategiei </w:t>
            </w:r>
            <w:r w:rsidR="00EE5DF9">
              <w:rPr>
                <w:rFonts w:ascii="Times New Roman" w:eastAsia="Times New Roman" w:hAnsi="Times New Roman"/>
                <w:sz w:val="24"/>
                <w:szCs w:val="24"/>
              </w:rPr>
              <w:t>de dezvoltare a culturii fizice și sportului în Republica Moldova ,,Sportul – 2020”</w:t>
            </w:r>
            <w:r w:rsidR="000F11C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E5DF9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r w:rsidR="00541059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E5DF9">
              <w:rPr>
                <w:rFonts w:ascii="Times New Roman" w:eastAsia="Times New Roman" w:hAnsi="Times New Roman"/>
                <w:sz w:val="24"/>
                <w:szCs w:val="24"/>
              </w:rPr>
              <w:t xml:space="preserve"> în proces de consultare publică.</w:t>
            </w:r>
          </w:p>
          <w:p w:rsidR="00EE5DF9" w:rsidRPr="00C6430D" w:rsidRDefault="00910029" w:rsidP="00CB061F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0330FD">
              <w:rPr>
                <w:rFonts w:ascii="Times New Roman" w:eastAsia="Times New Roman" w:hAnsi="Times New Roman"/>
                <w:sz w:val="24"/>
                <w:szCs w:val="24"/>
              </w:rPr>
              <w:t>Urmează a fi elaborat proiectul Strategiei nominalizate</w:t>
            </w:r>
            <w:r w:rsidR="00CB061F">
              <w:rPr>
                <w:rFonts w:ascii="Times New Roman" w:eastAsia="Times New Roman" w:hAnsi="Times New Roman"/>
                <w:sz w:val="24"/>
                <w:szCs w:val="24"/>
              </w:rPr>
              <w:t xml:space="preserve"> și</w:t>
            </w:r>
            <w:r w:rsidR="000330FD">
              <w:rPr>
                <w:rFonts w:ascii="Times New Roman" w:eastAsia="Times New Roman" w:hAnsi="Times New Roman"/>
                <w:sz w:val="24"/>
                <w:szCs w:val="24"/>
              </w:rPr>
              <w:t xml:space="preserve"> supus procesului de consultare</w:t>
            </w:r>
            <w:r w:rsidR="00F9381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330FD">
              <w:rPr>
                <w:rFonts w:ascii="Times New Roman" w:eastAsia="Times New Roman" w:hAnsi="Times New Roman"/>
                <w:sz w:val="24"/>
                <w:szCs w:val="24"/>
              </w:rPr>
              <w:t xml:space="preserve"> avizare</w:t>
            </w:r>
            <w:r w:rsidR="00F93810">
              <w:rPr>
                <w:rFonts w:ascii="Times New Roman" w:eastAsia="Times New Roman" w:hAnsi="Times New Roman"/>
                <w:sz w:val="24"/>
                <w:szCs w:val="24"/>
              </w:rPr>
              <w:t xml:space="preserve"> și definitivare</w:t>
            </w:r>
            <w:r w:rsidR="00CB061F">
              <w:rPr>
                <w:rFonts w:ascii="Times New Roman" w:eastAsia="Times New Roman" w:hAnsi="Times New Roman"/>
                <w:sz w:val="24"/>
                <w:szCs w:val="24"/>
              </w:rPr>
              <w:t>, care ulterior va fi</w:t>
            </w:r>
            <w:r w:rsidR="00F93810">
              <w:rPr>
                <w:rFonts w:ascii="Times New Roman" w:eastAsia="Times New Roman" w:hAnsi="Times New Roman"/>
                <w:sz w:val="24"/>
                <w:szCs w:val="24"/>
              </w:rPr>
              <w:t xml:space="preserve"> prezentat Guvernului, spre aprobare, în modul stabilit.</w:t>
            </w:r>
            <w:r w:rsidR="00033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530B" w:rsidRPr="004C6889" w:rsidTr="005F6108">
        <w:trPr>
          <w:gridAfter w:val="1"/>
          <w:wAfter w:w="3085" w:type="dxa"/>
          <w:trHeight w:val="4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0B" w:rsidRDefault="005B530B" w:rsidP="00790CC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0B" w:rsidRDefault="005B530B" w:rsidP="00790CC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B" w:rsidRDefault="005B530B" w:rsidP="00790CC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0B" w:rsidRDefault="005B530B" w:rsidP="00790CC5">
            <w:pPr>
              <w:tabs>
                <w:tab w:val="left" w:pos="0"/>
                <w:tab w:val="left" w:pos="36"/>
                <w:tab w:val="left" w:pos="178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3. Asigurarea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partici</w:t>
            </w:r>
            <w:r w:rsidR="000713F3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0713F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pării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organizaţiilor şi instituţiilor sportive la competiţiile şi </w:t>
            </w:r>
            <w:proofErr w:type="spellStart"/>
            <w:r w:rsidR="00790CC5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5B27CD">
              <w:rPr>
                <w:rFonts w:ascii="Times New Roman" w:eastAsia="SimSun" w:hAnsi="Times New Roman"/>
                <w:sz w:val="24"/>
                <w:szCs w:val="24"/>
              </w:rPr>
              <w:t>ve</w:t>
            </w:r>
            <w:proofErr w:type="spellEnd"/>
            <w:r w:rsidR="00790CC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5B27CD">
              <w:rPr>
                <w:rFonts w:ascii="Times New Roman" w:eastAsia="SimSun" w:hAnsi="Times New Roman"/>
                <w:sz w:val="24"/>
                <w:szCs w:val="24"/>
              </w:rPr>
              <w:t>nimentele</w:t>
            </w:r>
            <w:proofErr w:type="spellEnd"/>
            <w:r w:rsidR="005B27C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0713F3">
              <w:rPr>
                <w:rFonts w:ascii="Times New Roman" w:eastAsia="SimSun" w:hAnsi="Times New Roman"/>
                <w:sz w:val="24"/>
                <w:szCs w:val="24"/>
              </w:rPr>
              <w:t>organizate în ţările UE</w:t>
            </w:r>
          </w:p>
          <w:p w:rsidR="000713F3" w:rsidRDefault="000713F3" w:rsidP="000713F3">
            <w:pPr>
              <w:tabs>
                <w:tab w:val="left" w:pos="0"/>
                <w:tab w:val="left" w:pos="36"/>
                <w:tab w:val="left" w:pos="178"/>
              </w:tabs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0B" w:rsidRDefault="005B530B" w:rsidP="00790CC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Tineretu-</w:t>
            </w:r>
            <w:proofErr w:type="spellEnd"/>
          </w:p>
          <w:p w:rsidR="005B530B" w:rsidRDefault="005B530B" w:rsidP="00790CC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lui şi Sportului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B" w:rsidRDefault="005B530B" w:rsidP="00790CC5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2014-2016</w:t>
            </w:r>
          </w:p>
          <w:p w:rsidR="005B530B" w:rsidRDefault="005B530B" w:rsidP="00790CC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22" w:rsidRPr="00340E22" w:rsidRDefault="00340E22" w:rsidP="0028068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 parcursul </w:t>
            </w:r>
            <w:proofErr w:type="spellStart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trimestrului</w:t>
            </w:r>
            <w:proofErr w:type="spellEnd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I al </w:t>
            </w:r>
            <w:proofErr w:type="spellStart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anului</w:t>
            </w:r>
            <w:proofErr w:type="spellEnd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2016, a </w:t>
            </w:r>
            <w:proofErr w:type="spellStart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fost</w:t>
            </w:r>
            <w:proofErr w:type="spellEnd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asigurată</w:t>
            </w:r>
            <w:proofErr w:type="spellEnd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A1E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participarea</w:t>
            </w:r>
            <w:proofErr w:type="spellEnd"/>
            <w:r w:rsidR="005F610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610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membrilor</w:t>
            </w:r>
            <w:proofErr w:type="spellEnd"/>
            <w:r w:rsidR="007326C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326C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lotului</w:t>
            </w:r>
            <w:proofErr w:type="spellEnd"/>
            <w:r w:rsidR="007326C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326C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național</w:t>
            </w:r>
            <w:proofErr w:type="spellEnd"/>
            <w:r w:rsidR="007326C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de </w:t>
            </w:r>
            <w:proofErr w:type="spellStart"/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lupte</w:t>
            </w:r>
            <w:proofErr w:type="spellEnd"/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badminton, </w:t>
            </w:r>
            <w:proofErr w:type="spellStart"/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scrimă</w:t>
            </w:r>
            <w:proofErr w:type="spellEnd"/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și</w:t>
            </w:r>
            <w:proofErr w:type="spellEnd"/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5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iahting</w:t>
            </w:r>
            <w:proofErr w:type="spellEnd"/>
            <w:r w:rsidR="006A0F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F51D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="00F51D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evenimentele</w:t>
            </w:r>
            <w:proofErr w:type="spellEnd"/>
            <w:r w:rsidR="00F51D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sportive</w:t>
            </w:r>
            <w:r w:rsidR="007326C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ED6F61">
              <w:rPr>
                <w:rFonts w:ascii="Times New Roman" w:eastAsia="SimSun" w:hAnsi="Times New Roman"/>
                <w:sz w:val="24"/>
                <w:szCs w:val="24"/>
              </w:rPr>
              <w:t>organizate în ţările UE</w:t>
            </w:r>
            <w:r w:rsidR="00F51D48">
              <w:rPr>
                <w:rFonts w:ascii="Times New Roman" w:eastAsia="SimSun" w:hAnsi="Times New Roman"/>
                <w:sz w:val="24"/>
                <w:szCs w:val="24"/>
              </w:rPr>
              <w:t>, și anume</w:t>
            </w:r>
            <w:r w:rsidR="00ED6F61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176D62" w:rsidRPr="00340E22" w:rsidRDefault="00176D62" w:rsidP="00280683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Campionatul European de lupte libere, greco-romane și feminine (seniori), or. Riga, Lituania;</w:t>
            </w:r>
          </w:p>
          <w:p w:rsidR="00176D62" w:rsidRPr="00340E22" w:rsidRDefault="00176D62" w:rsidP="00280683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Campionatul European U23 de lupte libe</w:t>
            </w:r>
            <w:r w:rsidR="0071163A">
              <w:rPr>
                <w:rFonts w:ascii="Times New Roman" w:hAnsi="Times New Roman"/>
                <w:sz w:val="24"/>
                <w:szCs w:val="24"/>
              </w:rPr>
              <w:t>re</w:t>
            </w:r>
            <w:r w:rsidR="00BA5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greco-romane și feminine, or. Ruse, Bulgaria;</w:t>
            </w:r>
          </w:p>
          <w:p w:rsidR="00176D62" w:rsidRPr="00340E22" w:rsidRDefault="00176D62" w:rsidP="0028068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pos="9355"/>
              </w:tabs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Campionatul Europei de Badminton U17, juniori, or. </w:t>
            </w:r>
            <w:proofErr w:type="spellStart"/>
            <w:r w:rsidRPr="00340E22">
              <w:rPr>
                <w:rFonts w:ascii="Times New Roman" w:hAnsi="Times New Roman"/>
                <w:sz w:val="24"/>
                <w:szCs w:val="24"/>
              </w:rPr>
              <w:t>Lubin</w:t>
            </w:r>
            <w:proofErr w:type="spellEnd"/>
            <w:r w:rsidRPr="00340E22">
              <w:rPr>
                <w:rFonts w:ascii="Times New Roman" w:hAnsi="Times New Roman"/>
                <w:sz w:val="24"/>
                <w:szCs w:val="24"/>
              </w:rPr>
              <w:t>, Polonia;</w:t>
            </w:r>
          </w:p>
          <w:p w:rsidR="00176D62" w:rsidRPr="00340E22" w:rsidRDefault="00176D62" w:rsidP="005F61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>Campionatul</w:t>
            </w:r>
            <w:proofErr w:type="spellEnd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Mondial de </w:t>
            </w:r>
            <w:proofErr w:type="spellStart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>scrimă</w:t>
            </w:r>
            <w:proofErr w:type="spellEnd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>rezervat</w:t>
            </w:r>
            <w:proofErr w:type="spellEnd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>tineret</w:t>
            </w:r>
            <w:proofErr w:type="spellEnd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>juniori</w:t>
            </w:r>
            <w:proofErr w:type="spellEnd"/>
            <w:r w:rsidRPr="00340E22">
              <w:rPr>
                <w:rFonts w:ascii="Times New Roman" w:hAnsi="Times New Roman"/>
                <w:sz w:val="24"/>
                <w:szCs w:val="24"/>
                <w:lang w:val="fr-FR"/>
              </w:rPr>
              <w:t>, or. Bourges, Franța;</w:t>
            </w:r>
          </w:p>
          <w:p w:rsidR="00176D62" w:rsidRPr="00A9115B" w:rsidRDefault="00176D62" w:rsidP="005F61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Campionatul European de iahting (seniori) </w:t>
            </w:r>
            <w:r w:rsidRPr="00A9115B">
              <w:rPr>
                <w:rFonts w:ascii="Times New Roman" w:hAnsi="Times New Roman"/>
                <w:sz w:val="24"/>
                <w:szCs w:val="24"/>
              </w:rPr>
              <w:t>clasa „LASER”, în or. Las Palmas, Spania.</w:t>
            </w:r>
          </w:p>
          <w:p w:rsidR="005B530B" w:rsidRPr="006874DF" w:rsidRDefault="00176D62" w:rsidP="00BB56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91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Regata Internaţională la iahting„ Trofeul </w:t>
            </w:r>
            <w:proofErr w:type="spellStart"/>
            <w:r w:rsidRPr="00A9115B">
              <w:rPr>
                <w:rFonts w:ascii="Times New Roman" w:hAnsi="Times New Roman"/>
                <w:sz w:val="24"/>
                <w:szCs w:val="24"/>
              </w:rPr>
              <w:t>Princesa</w:t>
            </w:r>
            <w:proofErr w:type="spellEnd"/>
            <w:r w:rsidRPr="00A9115B">
              <w:rPr>
                <w:rFonts w:ascii="Times New Roman" w:hAnsi="Times New Roman"/>
                <w:sz w:val="24"/>
                <w:szCs w:val="24"/>
              </w:rPr>
              <w:t xml:space="preserve"> Sofia”</w:t>
            </w:r>
            <w:r w:rsidR="00BB568C">
              <w:rPr>
                <w:rFonts w:ascii="Times New Roman" w:hAnsi="Times New Roman"/>
                <w:sz w:val="24"/>
                <w:szCs w:val="24"/>
              </w:rPr>
              <w:t>,</w:t>
            </w:r>
            <w:r w:rsidRPr="00A9115B">
              <w:rPr>
                <w:rFonts w:ascii="Times New Roman" w:hAnsi="Times New Roman"/>
                <w:sz w:val="24"/>
                <w:szCs w:val="24"/>
              </w:rPr>
              <w:t xml:space="preserve"> în or. Palma de Mallorca, Spania</w:t>
            </w:r>
            <w:r w:rsidR="0007306C">
              <w:rPr>
                <w:rFonts w:ascii="Times New Roman" w:hAnsi="Times New Roman"/>
                <w:sz w:val="24"/>
                <w:szCs w:val="24"/>
              </w:rPr>
              <w:t>.</w:t>
            </w:r>
            <w:r w:rsidRPr="00A9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2EB" w:rsidRPr="004C6889" w:rsidTr="002869F9">
        <w:trPr>
          <w:trHeight w:val="42"/>
        </w:trPr>
        <w:tc>
          <w:tcPr>
            <w:tcW w:w="1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EB" w:rsidRDefault="00DC62EB" w:rsidP="00790CC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CAPITOLUL 26. COOPERAREA CU SOCIETATEA CIVILĂ</w:t>
            </w:r>
          </w:p>
        </w:tc>
        <w:tc>
          <w:tcPr>
            <w:tcW w:w="3085" w:type="dxa"/>
            <w:tcBorders>
              <w:top w:val="nil"/>
            </w:tcBorders>
          </w:tcPr>
          <w:p w:rsidR="00DC62EB" w:rsidRDefault="00DC62EB" w:rsidP="00790CC5">
            <w:pPr>
              <w:spacing w:after="0" w:line="240" w:lineRule="auto"/>
              <w:rPr>
                <w:rFonts w:eastAsia="SimSun"/>
                <w:b/>
              </w:rPr>
            </w:pPr>
          </w:p>
        </w:tc>
      </w:tr>
      <w:tr w:rsidR="00361B73" w:rsidRPr="004C6889" w:rsidTr="00790CC5">
        <w:trPr>
          <w:gridAfter w:val="1"/>
          <w:wAfter w:w="3085" w:type="dxa"/>
          <w:trHeight w:val="12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B73" w:rsidRDefault="00361B73" w:rsidP="00790C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134</w:t>
            </w:r>
          </w:p>
          <w:p w:rsidR="00361B73" w:rsidRDefault="00361B73" w:rsidP="00790CC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73" w:rsidRDefault="00361B73" w:rsidP="009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Părţile stabilesc un dialog cu privire la cooperarea cu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societa-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tea civilă, care vizează </w:t>
            </w:r>
          </w:p>
          <w:p w:rsidR="00361B73" w:rsidRDefault="00361B73" w:rsidP="009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următoarele obiective: </w:t>
            </w:r>
          </w:p>
          <w:p w:rsidR="00361B73" w:rsidRDefault="00361B73" w:rsidP="009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(a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) Consolidarea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con</w:t>
            </w:r>
            <w:r w:rsidR="00E25E7F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E25E7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tactelor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şi a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schimbu</w:t>
            </w:r>
            <w:r w:rsidR="00E25E7F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E25E7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lui de informaţii şi de experienţă între toate sectoarele societăţii civile din UE şi din Republica Moldova</w:t>
            </w:r>
            <w:r w:rsidR="00E25E7F"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361B73" w:rsidRDefault="00361B73" w:rsidP="009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(b)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Asigurarea unei mai bune cunoaşteri şi înţelegeri a Republicii Moldova, inclusiv a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istoriei şi culturii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aces</w:t>
            </w:r>
            <w:r w:rsidR="00E25E7F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E25E7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tei ţări, în interiorul</w:t>
            </w:r>
            <w:r w:rsidR="00E25E7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UE şi îndeosebi în</w:t>
            </w:r>
            <w:r w:rsidR="00E25E7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rîn</w:t>
            </w:r>
            <w:r w:rsidR="00836FC0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E25E7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organizaţiilor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soci</w:t>
            </w:r>
            <w:r w:rsidR="00836FC0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836FC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etăţii civile de pe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teri</w:t>
            </w:r>
            <w:r w:rsidR="00836FC0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836FC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toriul statelor membre,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permiţînd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astfel o mai mare sensibilizare a opiniei publice cu privire la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oportunităţi</w:t>
            </w:r>
            <w:r w:rsidR="00836FC0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proofErr w:type="spellEnd"/>
            <w:r w:rsidR="00836FC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le şi la provocările care pot apărea în relaţiile lor viitoare</w:t>
            </w:r>
            <w:r w:rsidR="00836FC0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B73" w:rsidRDefault="00361B73" w:rsidP="009A066C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3" w:rsidRDefault="009A066C" w:rsidP="009A066C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1B73" w:rsidRPr="008028FD">
              <w:rPr>
                <w:rFonts w:ascii="Times New Roman" w:hAnsi="Times New Roman"/>
                <w:sz w:val="24"/>
                <w:szCs w:val="24"/>
              </w:rPr>
              <w:t>1.Asigurarea implementării Legii voluntariatului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3" w:rsidRDefault="00361B73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Tineretu-</w:t>
            </w:r>
            <w:proofErr w:type="spellEnd"/>
          </w:p>
          <w:p w:rsidR="00361B73" w:rsidRDefault="00361B73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lui şi Sportului,</w:t>
            </w:r>
          </w:p>
          <w:p w:rsidR="00361B73" w:rsidRDefault="00361B73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61B73" w:rsidRDefault="00361B73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Ministerul Educației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Default="00361B73" w:rsidP="009A066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Trim.IV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, 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Default="00361B73" w:rsidP="009A066C">
            <w:pPr>
              <w:spacing w:after="0" w:line="240" w:lineRule="auto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3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432B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45AE6">
              <w:rPr>
                <w:rFonts w:ascii="Times New Roman" w:eastAsia="Times New Roman" w:hAnsi="Times New Roman"/>
                <w:sz w:val="24"/>
                <w:szCs w:val="24"/>
              </w:rPr>
              <w:t>Urmare punerii</w:t>
            </w:r>
            <w:r w:rsidRPr="00D62DD3">
              <w:rPr>
                <w:rFonts w:ascii="Times New Roman" w:hAnsi="Times New Roman"/>
                <w:sz w:val="24"/>
                <w:szCs w:val="24"/>
              </w:rPr>
              <w:t xml:space="preserve"> în aplicare a Legii voluntariatului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2DD3">
              <w:rPr>
                <w:rFonts w:ascii="Times New Roman" w:hAnsi="Times New Roman"/>
                <w:sz w:val="24"/>
                <w:szCs w:val="24"/>
              </w:rPr>
              <w:t xml:space="preserve"> pe parcursul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trimestrului I al </w:t>
            </w:r>
            <w:r w:rsidRPr="00D62DD3">
              <w:rPr>
                <w:rFonts w:ascii="Times New Roman" w:hAnsi="Times New Roman"/>
                <w:sz w:val="24"/>
                <w:szCs w:val="24"/>
              </w:rPr>
              <w:t>anului 2016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2DD3">
              <w:rPr>
                <w:rFonts w:ascii="Times New Roman" w:hAnsi="Times New Roman"/>
                <w:sz w:val="24"/>
                <w:szCs w:val="24"/>
              </w:rPr>
              <w:t xml:space="preserve"> au primit statut de instituţie gazdă a activităţii de voluntariat 38 de organizaţii non-guvernamentale şi instituţii publice. </w:t>
            </w:r>
          </w:p>
          <w:p w:rsidR="00361B73" w:rsidRPr="006874DF" w:rsidRDefault="009D432B" w:rsidP="009D432B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1B73">
              <w:rPr>
                <w:rFonts w:ascii="Times New Roman" w:hAnsi="Times New Roman"/>
                <w:sz w:val="24"/>
                <w:szCs w:val="24"/>
              </w:rPr>
              <w:t>De asemenea</w:t>
            </w:r>
            <w:r w:rsidR="00361B73" w:rsidRPr="00D62DD3">
              <w:rPr>
                <w:rFonts w:ascii="Times New Roman" w:hAnsi="Times New Roman"/>
                <w:sz w:val="24"/>
                <w:szCs w:val="24"/>
              </w:rPr>
              <w:t>,</w:t>
            </w:r>
            <w:r w:rsidR="00361B73">
              <w:rPr>
                <w:rFonts w:ascii="Times New Roman" w:hAnsi="Times New Roman"/>
                <w:sz w:val="24"/>
                <w:szCs w:val="24"/>
              </w:rPr>
              <w:t xml:space="preserve"> în perioada respectivă</w:t>
            </w:r>
            <w:r w:rsidR="00361B73" w:rsidRPr="00D62DD3">
              <w:rPr>
                <w:rFonts w:ascii="Times New Roman" w:hAnsi="Times New Roman"/>
                <w:sz w:val="24"/>
                <w:szCs w:val="24"/>
              </w:rPr>
              <w:t xml:space="preserve"> au fost eliberate 60 de carnete de voluntar</w:t>
            </w:r>
            <w:r w:rsidR="00361B73" w:rsidRPr="00182A3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361B73" w:rsidRPr="004C6889" w:rsidTr="00790CC5">
        <w:trPr>
          <w:gridAfter w:val="1"/>
          <w:wAfter w:w="3085" w:type="dxa"/>
          <w:trHeight w:val="255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B73" w:rsidRDefault="00361B73" w:rsidP="00790CC5">
            <w:pPr>
              <w:spacing w:after="0" w:line="240" w:lineRule="auto"/>
              <w:rPr>
                <w:rFonts w:eastAsia="SimSu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73" w:rsidRDefault="00361B73" w:rsidP="009A066C">
            <w:pPr>
              <w:spacing w:after="0" w:line="240" w:lineRule="auto"/>
              <w:jc w:val="both"/>
              <w:rPr>
                <w:rFonts w:eastAsia="SimSun"/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B73" w:rsidRDefault="00361B73" w:rsidP="009A066C">
            <w:pPr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3" w:rsidRDefault="009A066C" w:rsidP="009A066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2. Stabilirea parte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-neriate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 lor cu statele-membre ale UE în vederea consolidă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rii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 capacităţilor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organi-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zaţiilor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 gazdă  în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cre-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area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  oportunităţilor de dezvoltare şi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creş-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361B73">
              <w:rPr>
                <w:rFonts w:ascii="Times New Roman" w:eastAsia="SimSun" w:hAnsi="Times New Roman"/>
                <w:sz w:val="24"/>
                <w:szCs w:val="24"/>
              </w:rPr>
              <w:t>tere</w:t>
            </w:r>
            <w:proofErr w:type="spellEnd"/>
            <w:r w:rsidR="00361B73">
              <w:rPr>
                <w:rFonts w:ascii="Times New Roman" w:eastAsia="SimSun" w:hAnsi="Times New Roman"/>
                <w:sz w:val="24"/>
                <w:szCs w:val="24"/>
              </w:rPr>
              <w:t xml:space="preserve"> pentru voluntari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3" w:rsidRDefault="00361B73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Tineretu-</w:t>
            </w:r>
            <w:proofErr w:type="spellEnd"/>
          </w:p>
          <w:p w:rsidR="00361B73" w:rsidRDefault="00361B73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lui şi Sportului</w:t>
            </w:r>
          </w:p>
          <w:p w:rsidR="00361B73" w:rsidRDefault="00361B73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Default="00361B73" w:rsidP="009A066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2014-2016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Pr="006874DF" w:rsidRDefault="00361B73" w:rsidP="00825CE3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    </w:t>
            </w:r>
            <w:r w:rsidRPr="00BF1961">
              <w:rPr>
                <w:rFonts w:ascii="Times New Roman" w:eastAsia="Times New Roman" w:hAnsi="Times New Roman"/>
                <w:sz w:val="24"/>
                <w:szCs w:val="24"/>
              </w:rPr>
              <w:t xml:space="preserve">Pe parcursul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trimestrului I al </w:t>
            </w:r>
            <w:r w:rsidRPr="00BF1961">
              <w:rPr>
                <w:rFonts w:ascii="Times New Roman" w:eastAsia="Times New Roman" w:hAnsi="Times New Roman"/>
                <w:sz w:val="24"/>
                <w:szCs w:val="24"/>
              </w:rPr>
              <w:t>anului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F1961">
              <w:rPr>
                <w:rFonts w:ascii="Times New Roman" w:eastAsia="Times New Roman" w:hAnsi="Times New Roman"/>
                <w:sz w:val="24"/>
                <w:szCs w:val="24"/>
              </w:rPr>
              <w:t>, nu au fost realizate activități specifice la această m</w:t>
            </w:r>
            <w:r w:rsidR="00825CE3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 w:rsidRPr="00BF1961">
              <w:rPr>
                <w:rFonts w:ascii="Times New Roman" w:eastAsia="Times New Roman" w:hAnsi="Times New Roman"/>
                <w:sz w:val="24"/>
                <w:szCs w:val="24"/>
              </w:rPr>
              <w:t>sură de implementare.</w:t>
            </w:r>
          </w:p>
        </w:tc>
      </w:tr>
      <w:tr w:rsidR="00361B73" w:rsidRPr="004C6889" w:rsidTr="00790CC5">
        <w:trPr>
          <w:gridAfter w:val="1"/>
          <w:wAfter w:w="3085" w:type="dxa"/>
          <w:trHeight w:val="349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Default="00361B73" w:rsidP="00790CC5">
            <w:pPr>
              <w:spacing w:after="0" w:line="240" w:lineRule="auto"/>
              <w:rPr>
                <w:rFonts w:eastAsia="SimSu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3" w:rsidRDefault="00361B73" w:rsidP="009A066C">
            <w:pPr>
              <w:spacing w:after="0" w:line="240" w:lineRule="auto"/>
              <w:jc w:val="both"/>
              <w:rPr>
                <w:rFonts w:eastAsia="SimSun"/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Default="00361B73" w:rsidP="009A066C">
            <w:pPr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3" w:rsidRPr="00E235D8" w:rsidRDefault="006138C6" w:rsidP="00B769B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235D8">
              <w:rPr>
                <w:rFonts w:ascii="Times New Roman" w:eastAsia="SimSun" w:hAnsi="Times New Roman"/>
                <w:sz w:val="24"/>
                <w:szCs w:val="24"/>
              </w:rPr>
              <w:t xml:space="preserve">3. </w:t>
            </w:r>
            <w:r w:rsidR="002A1A0B" w:rsidRPr="00E235D8">
              <w:rPr>
                <w:rFonts w:ascii="Times New Roman" w:eastAsia="SimSun" w:hAnsi="Times New Roman"/>
                <w:sz w:val="24"/>
                <w:szCs w:val="24"/>
                <w:lang w:val="it-IT"/>
              </w:rPr>
              <w:t>Încurajarea stabili</w:t>
            </w:r>
            <w:r w:rsidR="00E235D8">
              <w:rPr>
                <w:rFonts w:ascii="Times New Roman" w:eastAsia="SimSun" w:hAnsi="Times New Roman"/>
                <w:sz w:val="24"/>
                <w:szCs w:val="24"/>
                <w:lang w:val="it-IT"/>
              </w:rPr>
              <w:t xml:space="preserve">- </w:t>
            </w:r>
            <w:r w:rsidR="002A1A0B" w:rsidRPr="00E235D8">
              <w:rPr>
                <w:rFonts w:ascii="Times New Roman" w:eastAsia="SimSun" w:hAnsi="Times New Roman"/>
                <w:sz w:val="24"/>
                <w:szCs w:val="24"/>
                <w:lang w:val="it-IT"/>
              </w:rPr>
              <w:t>rii platformelor co</w:t>
            </w:r>
            <w:r w:rsidR="00B769B3">
              <w:rPr>
                <w:rFonts w:ascii="Times New Roman" w:eastAsia="SimSun" w:hAnsi="Times New Roman"/>
                <w:sz w:val="24"/>
                <w:szCs w:val="24"/>
                <w:lang w:val="it-IT"/>
              </w:rPr>
              <w:t xml:space="preserve"> -</w:t>
            </w:r>
            <w:r w:rsidR="002A1A0B" w:rsidRPr="00E235D8">
              <w:rPr>
                <w:rFonts w:ascii="Times New Roman" w:eastAsia="SimSun" w:hAnsi="Times New Roman"/>
                <w:sz w:val="24"/>
                <w:szCs w:val="24"/>
                <w:lang w:val="it-IT"/>
              </w:rPr>
              <w:t>mune dintre Repub</w:t>
            </w:r>
            <w:r w:rsidR="00B769B3">
              <w:rPr>
                <w:rFonts w:ascii="Times New Roman" w:eastAsia="SimSun" w:hAnsi="Times New Roman"/>
                <w:sz w:val="24"/>
                <w:szCs w:val="24"/>
                <w:lang w:val="it-IT"/>
              </w:rPr>
              <w:t xml:space="preserve"> -</w:t>
            </w:r>
            <w:r w:rsidR="002A1A0B" w:rsidRPr="00E235D8">
              <w:rPr>
                <w:rFonts w:ascii="Times New Roman" w:eastAsia="SimSun" w:hAnsi="Times New Roman"/>
                <w:sz w:val="24"/>
                <w:szCs w:val="24"/>
                <w:lang w:val="it-IT"/>
              </w:rPr>
              <w:t>lica Moldova şi statele-membre ale UE care ar permite dezvoltarea şi implementarea proiectelor comune dintre organizaţiile societăţii civile</w:t>
            </w:r>
          </w:p>
          <w:p w:rsidR="00361B73" w:rsidRDefault="00361B73" w:rsidP="009A066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B" w:rsidRDefault="002A1A0B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Ministerul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Tineretu-</w:t>
            </w:r>
            <w:proofErr w:type="spellEnd"/>
          </w:p>
          <w:p w:rsidR="002A1A0B" w:rsidRDefault="002A1A0B" w:rsidP="00B769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lui şi Sportului</w:t>
            </w:r>
          </w:p>
          <w:p w:rsidR="00361B73" w:rsidRDefault="00361B73" w:rsidP="009A066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Default="002A1A0B" w:rsidP="009A066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2014-2016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73" w:rsidRDefault="0048484B" w:rsidP="009A066C">
            <w:pPr>
              <w:spacing w:after="0" w:line="240" w:lineRule="auto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În perioada 8-13 mai </w:t>
            </w:r>
            <w:r w:rsidR="00144877">
              <w:rPr>
                <w:rFonts w:ascii="Times New Roman" w:hAnsi="Times New Roman"/>
                <w:sz w:val="24"/>
                <w:szCs w:val="24"/>
              </w:rPr>
              <w:t xml:space="preserve">curent 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>va</w:t>
            </w:r>
            <w:r w:rsidR="00144877">
              <w:rPr>
                <w:rFonts w:ascii="Times New Roman" w:hAnsi="Times New Roman"/>
                <w:sz w:val="24"/>
                <w:szCs w:val="24"/>
              </w:rPr>
              <w:t xml:space="preserve"> fi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 desfăşura</w:t>
            </w:r>
            <w:r w:rsidR="00144877">
              <w:rPr>
                <w:rFonts w:ascii="Times New Roman" w:hAnsi="Times New Roman"/>
                <w:sz w:val="24"/>
                <w:szCs w:val="24"/>
              </w:rPr>
              <w:t>t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 un curs de instruire</w:t>
            </w:r>
            <w:r w:rsidR="00517E9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 ce va oferi participan</w:t>
            </w:r>
            <w:r w:rsidRPr="0048484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ilor posibilitatea de a explora legăturile între ONG-uri </w:t>
            </w:r>
            <w:r w:rsidRPr="0048484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>i sectoarele de activitate</w:t>
            </w:r>
            <w:r w:rsidR="00517E9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 precum </w:t>
            </w:r>
            <w:r w:rsidRPr="0048484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>i pentru a afla mai multe despre responsabilitatea socială a întreprinderilor: forme, metode, nevoile de afaceri, cele mai bune practici şi rolul ONG-urilor.</w:t>
            </w:r>
            <w:r w:rsidR="00517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Cursul de instruire </w:t>
            </w:r>
            <w:r w:rsidR="00517E94">
              <w:rPr>
                <w:rFonts w:ascii="Times New Roman" w:hAnsi="Times New Roman"/>
                <w:sz w:val="24"/>
                <w:szCs w:val="24"/>
              </w:rPr>
              <w:t>va fi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 organizat de</w:t>
            </w:r>
            <w:r w:rsidR="00517E94">
              <w:rPr>
                <w:rFonts w:ascii="Times New Roman" w:hAnsi="Times New Roman"/>
                <w:sz w:val="24"/>
                <w:szCs w:val="24"/>
              </w:rPr>
              <w:t xml:space="preserve"> către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 SALTO </w:t>
            </w:r>
            <w:proofErr w:type="spellStart"/>
            <w:r w:rsidRPr="0048484B">
              <w:rPr>
                <w:rFonts w:ascii="Times New Roman" w:hAnsi="Times New Roman"/>
                <w:sz w:val="24"/>
                <w:szCs w:val="24"/>
              </w:rPr>
              <w:t>Eastern</w:t>
            </w:r>
            <w:proofErr w:type="spellEnd"/>
            <w:r w:rsidRPr="0048484B">
              <w:rPr>
                <w:rFonts w:ascii="Times New Roman" w:hAnsi="Times New Roman"/>
                <w:sz w:val="24"/>
                <w:szCs w:val="24"/>
              </w:rPr>
              <w:t xml:space="preserve"> Europe </w:t>
            </w:r>
            <w:proofErr w:type="spellStart"/>
            <w:r w:rsidRPr="0048484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8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84B">
              <w:rPr>
                <w:rFonts w:ascii="Times New Roman" w:hAnsi="Times New Roman"/>
                <w:sz w:val="24"/>
                <w:szCs w:val="24"/>
              </w:rPr>
              <w:t>Caucasus</w:t>
            </w:r>
            <w:proofErr w:type="spellEnd"/>
            <w:r w:rsidRPr="0048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84B">
              <w:rPr>
                <w:rFonts w:ascii="Times New Roman" w:hAnsi="Times New Roman"/>
                <w:sz w:val="24"/>
                <w:szCs w:val="24"/>
              </w:rPr>
              <w:t>Resource</w:t>
            </w:r>
            <w:proofErr w:type="spellEnd"/>
            <w:r w:rsidRPr="0048484B">
              <w:rPr>
                <w:rFonts w:ascii="Times New Roman" w:hAnsi="Times New Roman"/>
                <w:sz w:val="24"/>
                <w:szCs w:val="24"/>
              </w:rPr>
              <w:t xml:space="preserve"> Centre</w:t>
            </w:r>
            <w:r w:rsidR="00517E9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84B">
              <w:rPr>
                <w:rFonts w:ascii="Times New Roman" w:hAnsi="Times New Roman"/>
                <w:sz w:val="24"/>
                <w:szCs w:val="24"/>
              </w:rPr>
              <w:t xml:space="preserve"> în parteneriat cu Ministerul Tineretului şi Sportului.</w:t>
            </w:r>
          </w:p>
          <w:p w:rsidR="00601864" w:rsidRPr="0048484B" w:rsidRDefault="00601864" w:rsidP="009A066C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D81AFD" w:rsidRDefault="00D81AFD" w:rsidP="00842A04"/>
    <w:sectPr w:rsidR="00D81AFD" w:rsidSect="00790CC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81" w:rsidRDefault="00752781" w:rsidP="00B55811">
      <w:pPr>
        <w:spacing w:after="0" w:line="240" w:lineRule="auto"/>
      </w:pPr>
      <w:r>
        <w:separator/>
      </w:r>
    </w:p>
  </w:endnote>
  <w:endnote w:type="continuationSeparator" w:id="0">
    <w:p w:rsidR="00752781" w:rsidRDefault="00752781" w:rsidP="00B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715766"/>
      <w:docPartObj>
        <w:docPartGallery w:val="Page Numbers (Bottom of Page)"/>
        <w:docPartUnique/>
      </w:docPartObj>
    </w:sdtPr>
    <w:sdtContent>
      <w:p w:rsidR="00790CC5" w:rsidRDefault="00170222">
        <w:pPr>
          <w:pStyle w:val="a5"/>
          <w:jc w:val="right"/>
        </w:pPr>
        <w:fldSimple w:instr="PAGE   \* MERGEFORMAT">
          <w:r w:rsidR="003F676D">
            <w:rPr>
              <w:noProof/>
            </w:rPr>
            <w:t>1</w:t>
          </w:r>
        </w:fldSimple>
      </w:p>
    </w:sdtContent>
  </w:sdt>
  <w:p w:rsidR="00790CC5" w:rsidRDefault="00790C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81" w:rsidRDefault="00752781" w:rsidP="00B55811">
      <w:pPr>
        <w:spacing w:after="0" w:line="240" w:lineRule="auto"/>
      </w:pPr>
      <w:r>
        <w:separator/>
      </w:r>
    </w:p>
  </w:footnote>
  <w:footnote w:type="continuationSeparator" w:id="0">
    <w:p w:rsidR="00752781" w:rsidRDefault="00752781" w:rsidP="00B5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E81"/>
    <w:multiLevelType w:val="hybridMultilevel"/>
    <w:tmpl w:val="CE6C9222"/>
    <w:lvl w:ilvl="0" w:tplc="CA12B40A">
      <w:start w:val="1"/>
      <w:numFmt w:val="decimal"/>
      <w:lvlText w:val="%1."/>
      <w:lvlJc w:val="left"/>
      <w:pPr>
        <w:ind w:left="483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51177AC"/>
    <w:multiLevelType w:val="hybridMultilevel"/>
    <w:tmpl w:val="CA20BE9C"/>
    <w:lvl w:ilvl="0" w:tplc="FDC62E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4D"/>
    <w:rsid w:val="0000221E"/>
    <w:rsid w:val="00007F4E"/>
    <w:rsid w:val="00015CAB"/>
    <w:rsid w:val="00017724"/>
    <w:rsid w:val="000330FD"/>
    <w:rsid w:val="00034DF3"/>
    <w:rsid w:val="00036C0B"/>
    <w:rsid w:val="0004246F"/>
    <w:rsid w:val="000607B0"/>
    <w:rsid w:val="000713F3"/>
    <w:rsid w:val="0007306C"/>
    <w:rsid w:val="00086027"/>
    <w:rsid w:val="000914B1"/>
    <w:rsid w:val="00094403"/>
    <w:rsid w:val="000B6557"/>
    <w:rsid w:val="000C1CA3"/>
    <w:rsid w:val="000D07B8"/>
    <w:rsid w:val="000D7ACB"/>
    <w:rsid w:val="000F11CD"/>
    <w:rsid w:val="001028B6"/>
    <w:rsid w:val="00105E9B"/>
    <w:rsid w:val="001065A8"/>
    <w:rsid w:val="00123B20"/>
    <w:rsid w:val="00125A71"/>
    <w:rsid w:val="00144877"/>
    <w:rsid w:val="00144FD1"/>
    <w:rsid w:val="00154143"/>
    <w:rsid w:val="00165805"/>
    <w:rsid w:val="00170222"/>
    <w:rsid w:val="00176D62"/>
    <w:rsid w:val="0019531F"/>
    <w:rsid w:val="00196623"/>
    <w:rsid w:val="001A21E4"/>
    <w:rsid w:val="001B56A4"/>
    <w:rsid w:val="00201696"/>
    <w:rsid w:val="00202D47"/>
    <w:rsid w:val="00203F58"/>
    <w:rsid w:val="0023363A"/>
    <w:rsid w:val="00241EF5"/>
    <w:rsid w:val="00247A7C"/>
    <w:rsid w:val="00256CB4"/>
    <w:rsid w:val="00261F07"/>
    <w:rsid w:val="00264952"/>
    <w:rsid w:val="00280683"/>
    <w:rsid w:val="002869F9"/>
    <w:rsid w:val="00293F28"/>
    <w:rsid w:val="002A1A0B"/>
    <w:rsid w:val="002B3053"/>
    <w:rsid w:val="002B6DC4"/>
    <w:rsid w:val="002D3393"/>
    <w:rsid w:val="00312C5C"/>
    <w:rsid w:val="00314C0F"/>
    <w:rsid w:val="00323054"/>
    <w:rsid w:val="0032491B"/>
    <w:rsid w:val="00340E22"/>
    <w:rsid w:val="0035291D"/>
    <w:rsid w:val="00360D48"/>
    <w:rsid w:val="00361B73"/>
    <w:rsid w:val="003630EF"/>
    <w:rsid w:val="0036711E"/>
    <w:rsid w:val="00370A5E"/>
    <w:rsid w:val="00371BC6"/>
    <w:rsid w:val="00374825"/>
    <w:rsid w:val="003836CD"/>
    <w:rsid w:val="00395928"/>
    <w:rsid w:val="003B6BAA"/>
    <w:rsid w:val="003D72DF"/>
    <w:rsid w:val="003F676D"/>
    <w:rsid w:val="00405B92"/>
    <w:rsid w:val="004115DD"/>
    <w:rsid w:val="004419F3"/>
    <w:rsid w:val="0044686D"/>
    <w:rsid w:val="0048484B"/>
    <w:rsid w:val="00487080"/>
    <w:rsid w:val="004877E9"/>
    <w:rsid w:val="004A059F"/>
    <w:rsid w:val="004A0963"/>
    <w:rsid w:val="004B09F1"/>
    <w:rsid w:val="004B4C52"/>
    <w:rsid w:val="004B7EB7"/>
    <w:rsid w:val="004C0C9C"/>
    <w:rsid w:val="004E524D"/>
    <w:rsid w:val="004E5EFA"/>
    <w:rsid w:val="004E78B6"/>
    <w:rsid w:val="00504AF7"/>
    <w:rsid w:val="00505805"/>
    <w:rsid w:val="00511AC1"/>
    <w:rsid w:val="00517E94"/>
    <w:rsid w:val="0053264B"/>
    <w:rsid w:val="005339EC"/>
    <w:rsid w:val="00541059"/>
    <w:rsid w:val="005467AB"/>
    <w:rsid w:val="00565130"/>
    <w:rsid w:val="00581FED"/>
    <w:rsid w:val="00591278"/>
    <w:rsid w:val="00595914"/>
    <w:rsid w:val="005A307E"/>
    <w:rsid w:val="005B0CF6"/>
    <w:rsid w:val="005B27CD"/>
    <w:rsid w:val="005B530B"/>
    <w:rsid w:val="005B5ED6"/>
    <w:rsid w:val="005C6804"/>
    <w:rsid w:val="005E64AF"/>
    <w:rsid w:val="005F6108"/>
    <w:rsid w:val="00601864"/>
    <w:rsid w:val="00605FD5"/>
    <w:rsid w:val="0061323E"/>
    <w:rsid w:val="006138C6"/>
    <w:rsid w:val="0061732A"/>
    <w:rsid w:val="00620B27"/>
    <w:rsid w:val="00635E80"/>
    <w:rsid w:val="0065300D"/>
    <w:rsid w:val="00685E4A"/>
    <w:rsid w:val="00694860"/>
    <w:rsid w:val="006A0F09"/>
    <w:rsid w:val="006C3FEB"/>
    <w:rsid w:val="006D2744"/>
    <w:rsid w:val="006D76A3"/>
    <w:rsid w:val="00706588"/>
    <w:rsid w:val="0071163A"/>
    <w:rsid w:val="0071291A"/>
    <w:rsid w:val="00721042"/>
    <w:rsid w:val="007326CE"/>
    <w:rsid w:val="00736B66"/>
    <w:rsid w:val="00736C3D"/>
    <w:rsid w:val="0074076B"/>
    <w:rsid w:val="00740A63"/>
    <w:rsid w:val="00752781"/>
    <w:rsid w:val="00757EA2"/>
    <w:rsid w:val="00790CC5"/>
    <w:rsid w:val="00793751"/>
    <w:rsid w:val="007C4448"/>
    <w:rsid w:val="007C6181"/>
    <w:rsid w:val="007D0B68"/>
    <w:rsid w:val="007D21C3"/>
    <w:rsid w:val="007E62E2"/>
    <w:rsid w:val="008028FD"/>
    <w:rsid w:val="00813FF7"/>
    <w:rsid w:val="00824631"/>
    <w:rsid w:val="00825CE3"/>
    <w:rsid w:val="00830DF7"/>
    <w:rsid w:val="00836FC0"/>
    <w:rsid w:val="00842A04"/>
    <w:rsid w:val="0085266F"/>
    <w:rsid w:val="0085287D"/>
    <w:rsid w:val="008658F1"/>
    <w:rsid w:val="00872837"/>
    <w:rsid w:val="00874A72"/>
    <w:rsid w:val="0089468D"/>
    <w:rsid w:val="008C3630"/>
    <w:rsid w:val="008D7CC3"/>
    <w:rsid w:val="008E4520"/>
    <w:rsid w:val="008F6421"/>
    <w:rsid w:val="009046E6"/>
    <w:rsid w:val="009069C3"/>
    <w:rsid w:val="00910029"/>
    <w:rsid w:val="00915D65"/>
    <w:rsid w:val="00923929"/>
    <w:rsid w:val="00941CAA"/>
    <w:rsid w:val="00942E55"/>
    <w:rsid w:val="00945AE6"/>
    <w:rsid w:val="00952F4F"/>
    <w:rsid w:val="00973335"/>
    <w:rsid w:val="00973719"/>
    <w:rsid w:val="009A066C"/>
    <w:rsid w:val="009C5361"/>
    <w:rsid w:val="009C5919"/>
    <w:rsid w:val="009D432B"/>
    <w:rsid w:val="009F1145"/>
    <w:rsid w:val="00A03B37"/>
    <w:rsid w:val="00A05F47"/>
    <w:rsid w:val="00A10695"/>
    <w:rsid w:val="00A22E35"/>
    <w:rsid w:val="00A51EA5"/>
    <w:rsid w:val="00A62ACB"/>
    <w:rsid w:val="00A833DF"/>
    <w:rsid w:val="00A9115B"/>
    <w:rsid w:val="00AA4C03"/>
    <w:rsid w:val="00AA7D1B"/>
    <w:rsid w:val="00AC072C"/>
    <w:rsid w:val="00AC5537"/>
    <w:rsid w:val="00AD451C"/>
    <w:rsid w:val="00AD4AE3"/>
    <w:rsid w:val="00AF3603"/>
    <w:rsid w:val="00AF406C"/>
    <w:rsid w:val="00B13AB9"/>
    <w:rsid w:val="00B226ED"/>
    <w:rsid w:val="00B36164"/>
    <w:rsid w:val="00B4371C"/>
    <w:rsid w:val="00B43D67"/>
    <w:rsid w:val="00B55811"/>
    <w:rsid w:val="00B73BA7"/>
    <w:rsid w:val="00B769B3"/>
    <w:rsid w:val="00B80B7B"/>
    <w:rsid w:val="00B90891"/>
    <w:rsid w:val="00B93578"/>
    <w:rsid w:val="00B96536"/>
    <w:rsid w:val="00BA1A11"/>
    <w:rsid w:val="00BA1EEB"/>
    <w:rsid w:val="00BA51E7"/>
    <w:rsid w:val="00BB1332"/>
    <w:rsid w:val="00BB454D"/>
    <w:rsid w:val="00BB558A"/>
    <w:rsid w:val="00BB568C"/>
    <w:rsid w:val="00BB77C2"/>
    <w:rsid w:val="00BC3F5E"/>
    <w:rsid w:val="00BC4A21"/>
    <w:rsid w:val="00BD3242"/>
    <w:rsid w:val="00BE09D9"/>
    <w:rsid w:val="00BE403B"/>
    <w:rsid w:val="00BF0FEF"/>
    <w:rsid w:val="00C15D7C"/>
    <w:rsid w:val="00C32279"/>
    <w:rsid w:val="00C34709"/>
    <w:rsid w:val="00C34F8E"/>
    <w:rsid w:val="00C35E07"/>
    <w:rsid w:val="00C73337"/>
    <w:rsid w:val="00CA63A1"/>
    <w:rsid w:val="00CB061F"/>
    <w:rsid w:val="00CB51F3"/>
    <w:rsid w:val="00CF0CF3"/>
    <w:rsid w:val="00D205AB"/>
    <w:rsid w:val="00D27512"/>
    <w:rsid w:val="00D27946"/>
    <w:rsid w:val="00D62C4A"/>
    <w:rsid w:val="00D62DD3"/>
    <w:rsid w:val="00D6662F"/>
    <w:rsid w:val="00D71685"/>
    <w:rsid w:val="00D81AFD"/>
    <w:rsid w:val="00DA3C41"/>
    <w:rsid w:val="00DA4D58"/>
    <w:rsid w:val="00DB06CE"/>
    <w:rsid w:val="00DB488F"/>
    <w:rsid w:val="00DC62EB"/>
    <w:rsid w:val="00DE4066"/>
    <w:rsid w:val="00DE551B"/>
    <w:rsid w:val="00DE64C7"/>
    <w:rsid w:val="00E14248"/>
    <w:rsid w:val="00E15FEC"/>
    <w:rsid w:val="00E17B0A"/>
    <w:rsid w:val="00E235D8"/>
    <w:rsid w:val="00E25E7F"/>
    <w:rsid w:val="00E56A3F"/>
    <w:rsid w:val="00E656B3"/>
    <w:rsid w:val="00E66DA7"/>
    <w:rsid w:val="00E8207D"/>
    <w:rsid w:val="00E96268"/>
    <w:rsid w:val="00EA6ED1"/>
    <w:rsid w:val="00EB3BB4"/>
    <w:rsid w:val="00EB73ED"/>
    <w:rsid w:val="00EC6109"/>
    <w:rsid w:val="00ED0822"/>
    <w:rsid w:val="00ED4F8D"/>
    <w:rsid w:val="00ED6F61"/>
    <w:rsid w:val="00EE5DF9"/>
    <w:rsid w:val="00F050B1"/>
    <w:rsid w:val="00F055B1"/>
    <w:rsid w:val="00F06874"/>
    <w:rsid w:val="00F14FBC"/>
    <w:rsid w:val="00F51D48"/>
    <w:rsid w:val="00F93810"/>
    <w:rsid w:val="00FC2DF5"/>
    <w:rsid w:val="00FD4B10"/>
    <w:rsid w:val="00FE2FC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4D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5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24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4D"/>
    <w:rPr>
      <w:rFonts w:ascii="Calibri" w:eastAsia="Calibri" w:hAnsi="Calibri" w:cs="Times New Roman"/>
      <w:lang w:val="ro-RO"/>
    </w:rPr>
  </w:style>
  <w:style w:type="character" w:styleId="a7">
    <w:name w:val="Strong"/>
    <w:qFormat/>
    <w:rsid w:val="00C34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5CBA-582B-4152-87C2-44F9724C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ludmiladamep</dc:creator>
  <cp:keywords/>
  <dc:description/>
  <cp:lastModifiedBy>ludmiladamep</cp:lastModifiedBy>
  <cp:revision>161</cp:revision>
  <cp:lastPrinted>2016-04-06T08:19:00Z</cp:lastPrinted>
  <dcterms:created xsi:type="dcterms:W3CDTF">2016-04-05T06:26:00Z</dcterms:created>
  <dcterms:modified xsi:type="dcterms:W3CDTF">2016-04-13T13:04:00Z</dcterms:modified>
</cp:coreProperties>
</file>