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451C0" w:rsidRPr="00866277" w:rsidRDefault="00D451C0" w:rsidP="00D21B0A">
      <w:pPr>
        <w:tabs>
          <w:tab w:val="left" w:pos="-900"/>
        </w:tabs>
        <w:jc w:val="center"/>
        <w:rPr>
          <w:rFonts w:ascii="Arial Narrow" w:hAnsi="Arial Narrow"/>
          <w:b/>
          <w:lang w:val="ro-RO"/>
        </w:rPr>
      </w:pPr>
    </w:p>
    <w:p w:rsidR="00D451C0" w:rsidRPr="00866277" w:rsidRDefault="00D451C0" w:rsidP="00D21B0A">
      <w:pPr>
        <w:tabs>
          <w:tab w:val="left" w:pos="-900"/>
        </w:tabs>
        <w:jc w:val="center"/>
        <w:rPr>
          <w:rFonts w:ascii="Arial Narrow" w:hAnsi="Arial Narrow"/>
          <w:b/>
          <w:lang w:val="ro-RO"/>
        </w:rPr>
      </w:pPr>
    </w:p>
    <w:p w:rsidR="00D451C0" w:rsidRPr="00866277" w:rsidRDefault="00D451C0" w:rsidP="00D21B0A">
      <w:pPr>
        <w:tabs>
          <w:tab w:val="left" w:pos="-900"/>
        </w:tabs>
        <w:jc w:val="center"/>
        <w:rPr>
          <w:rFonts w:ascii="Arial Narrow" w:hAnsi="Arial Narrow"/>
          <w:b/>
          <w:sz w:val="28"/>
          <w:szCs w:val="28"/>
          <w:lang w:val="ro-RO"/>
        </w:rPr>
      </w:pPr>
    </w:p>
    <w:p w:rsidR="00D451C0" w:rsidRPr="00866277" w:rsidRDefault="00D451C0" w:rsidP="00D21B0A">
      <w:pPr>
        <w:tabs>
          <w:tab w:val="left" w:pos="-900"/>
        </w:tabs>
        <w:jc w:val="center"/>
        <w:rPr>
          <w:b/>
          <w:sz w:val="28"/>
          <w:szCs w:val="28"/>
          <w:lang w:val="ro-RO"/>
        </w:rPr>
      </w:pPr>
      <w:r w:rsidRPr="00866277">
        <w:rPr>
          <w:b/>
          <w:sz w:val="28"/>
          <w:szCs w:val="28"/>
          <w:lang w:val="ro-RO"/>
        </w:rPr>
        <w:t>MINISTERUL ECONOMIEI ȘI INFRASTRUCTURII</w:t>
      </w:r>
    </w:p>
    <w:p w:rsidR="00D451C0" w:rsidRPr="00866277" w:rsidRDefault="00D451C0" w:rsidP="00D21B0A">
      <w:pPr>
        <w:tabs>
          <w:tab w:val="left" w:pos="-900"/>
        </w:tabs>
        <w:jc w:val="center"/>
        <w:rPr>
          <w:b/>
          <w:lang w:val="ro-RO"/>
        </w:rPr>
      </w:pPr>
    </w:p>
    <w:p w:rsidR="00D451C0" w:rsidRPr="00866277" w:rsidRDefault="00D451C0" w:rsidP="00D21B0A">
      <w:pPr>
        <w:tabs>
          <w:tab w:val="left" w:pos="-900"/>
        </w:tabs>
        <w:jc w:val="center"/>
        <w:rPr>
          <w:b/>
          <w:lang w:val="ro-RO"/>
        </w:rPr>
      </w:pPr>
      <w:r w:rsidRPr="00866277">
        <w:rPr>
          <w:b/>
          <w:lang w:val="ro-RO"/>
        </w:rPr>
        <w:t>DIRECȚIA INFRASTRUCTURA CALITĂȚII ȘI SECURITATE INDUSTRIALĂ</w:t>
      </w:r>
    </w:p>
    <w:p w:rsidR="00D451C0" w:rsidRPr="00866277" w:rsidRDefault="00D451C0" w:rsidP="00D21B0A">
      <w:pPr>
        <w:tabs>
          <w:tab w:val="left" w:pos="-900"/>
        </w:tabs>
        <w:jc w:val="center"/>
        <w:rPr>
          <w:b/>
          <w:lang w:val="ro-RO"/>
        </w:rPr>
      </w:pPr>
    </w:p>
    <w:p w:rsidR="00D451C0" w:rsidRPr="00866277" w:rsidRDefault="00D451C0" w:rsidP="00D21B0A">
      <w:pPr>
        <w:tabs>
          <w:tab w:val="left" w:pos="-900"/>
        </w:tabs>
        <w:jc w:val="center"/>
        <w:rPr>
          <w:b/>
          <w:lang w:val="ro-RO"/>
        </w:rPr>
      </w:pPr>
    </w:p>
    <w:p w:rsidR="00D451C0" w:rsidRPr="00866277" w:rsidRDefault="00D451C0" w:rsidP="00D21B0A">
      <w:pPr>
        <w:tabs>
          <w:tab w:val="left" w:pos="-900"/>
        </w:tabs>
        <w:jc w:val="center"/>
        <w:rPr>
          <w:b/>
          <w:lang w:val="ro-RO"/>
        </w:rPr>
      </w:pPr>
    </w:p>
    <w:p w:rsidR="00D451C0" w:rsidRPr="00866277" w:rsidRDefault="00D451C0" w:rsidP="00D21B0A">
      <w:pPr>
        <w:tabs>
          <w:tab w:val="left" w:pos="-900"/>
        </w:tabs>
        <w:jc w:val="center"/>
        <w:rPr>
          <w:b/>
          <w:lang w:val="ro-RO"/>
        </w:rPr>
      </w:pPr>
    </w:p>
    <w:p w:rsidR="00D451C0" w:rsidRPr="00866277" w:rsidRDefault="00D451C0" w:rsidP="00D21B0A">
      <w:pPr>
        <w:tabs>
          <w:tab w:val="left" w:pos="-900"/>
        </w:tabs>
        <w:jc w:val="center"/>
        <w:rPr>
          <w:b/>
          <w:lang w:val="ro-RO"/>
        </w:rPr>
      </w:pPr>
    </w:p>
    <w:p w:rsidR="00D451C0" w:rsidRPr="00866277" w:rsidRDefault="00D451C0" w:rsidP="00D21B0A">
      <w:pPr>
        <w:tabs>
          <w:tab w:val="left" w:pos="-900"/>
        </w:tabs>
        <w:jc w:val="center"/>
        <w:rPr>
          <w:b/>
          <w:lang w:val="ro-RO"/>
        </w:rPr>
      </w:pPr>
    </w:p>
    <w:p w:rsidR="00D451C0" w:rsidRPr="00866277" w:rsidRDefault="00D451C0" w:rsidP="00D21B0A">
      <w:pPr>
        <w:pStyle w:val="IntenseQuote"/>
        <w:rPr>
          <w:b/>
          <w:i w:val="0"/>
          <w:color w:val="auto"/>
          <w:sz w:val="40"/>
          <w:szCs w:val="40"/>
          <w:lang w:val="ro-RO"/>
        </w:rPr>
      </w:pPr>
      <w:r w:rsidRPr="00866277">
        <w:rPr>
          <w:b/>
          <w:i w:val="0"/>
          <w:color w:val="auto"/>
          <w:sz w:val="40"/>
          <w:szCs w:val="40"/>
          <w:lang w:val="ro-RO"/>
        </w:rPr>
        <w:t>Strategia în domeniul protecției consumatorilor pentru perioada 2013 – 2020</w:t>
      </w:r>
    </w:p>
    <w:p w:rsidR="00D451C0" w:rsidRPr="00866277" w:rsidRDefault="00D451C0" w:rsidP="00D21B0A">
      <w:pPr>
        <w:tabs>
          <w:tab w:val="left" w:pos="-900"/>
        </w:tabs>
        <w:jc w:val="center"/>
        <w:rPr>
          <w:b/>
          <w:sz w:val="40"/>
          <w:szCs w:val="40"/>
          <w:lang w:val="ro-RO"/>
        </w:rPr>
      </w:pPr>
    </w:p>
    <w:p w:rsidR="00D451C0" w:rsidRPr="00866277" w:rsidRDefault="00D451C0" w:rsidP="00D21B0A">
      <w:pPr>
        <w:tabs>
          <w:tab w:val="left" w:pos="-900"/>
        </w:tabs>
        <w:jc w:val="center"/>
        <w:rPr>
          <w:b/>
          <w:sz w:val="40"/>
          <w:szCs w:val="40"/>
          <w:lang w:val="ro-RO"/>
        </w:rPr>
      </w:pPr>
      <w:r w:rsidRPr="00866277">
        <w:rPr>
          <w:rStyle w:val="BookTitle"/>
          <w:i w:val="0"/>
          <w:sz w:val="32"/>
          <w:szCs w:val="32"/>
          <w:lang w:val="ro-RO"/>
        </w:rPr>
        <w:t>Raport</w:t>
      </w:r>
      <w:r w:rsidR="001D3DBB" w:rsidRPr="00866277">
        <w:rPr>
          <w:rStyle w:val="BookTitle"/>
          <w:i w:val="0"/>
          <w:sz w:val="32"/>
          <w:szCs w:val="32"/>
          <w:lang w:val="ro-RO"/>
        </w:rPr>
        <w:t>ul</w:t>
      </w:r>
      <w:r w:rsidR="0015673A" w:rsidRPr="00866277">
        <w:rPr>
          <w:rStyle w:val="BookTitle"/>
          <w:i w:val="0"/>
          <w:sz w:val="32"/>
          <w:szCs w:val="32"/>
          <w:lang w:val="ro-RO"/>
        </w:rPr>
        <w:t xml:space="preserve"> anual (2019</w:t>
      </w:r>
      <w:r w:rsidRPr="00866277">
        <w:rPr>
          <w:rStyle w:val="BookTitle"/>
          <w:i w:val="0"/>
          <w:sz w:val="32"/>
          <w:szCs w:val="32"/>
          <w:lang w:val="ro-RO"/>
        </w:rPr>
        <w:t>) de evaluare a implementării Planului de acțiuni pentru</w:t>
      </w:r>
      <w:r w:rsidRPr="00866277">
        <w:rPr>
          <w:b/>
          <w:bCs/>
          <w:sz w:val="32"/>
          <w:szCs w:val="32"/>
          <w:lang w:val="ro-RO"/>
        </w:rPr>
        <w:t xml:space="preserve"> perioada a doua 2017-2020</w:t>
      </w:r>
    </w:p>
    <w:p w:rsidR="00D451C0" w:rsidRPr="00866277" w:rsidRDefault="00D451C0" w:rsidP="00D21B0A">
      <w:pPr>
        <w:tabs>
          <w:tab w:val="left" w:pos="-900"/>
        </w:tabs>
        <w:jc w:val="center"/>
        <w:rPr>
          <w:b/>
          <w:sz w:val="40"/>
          <w:szCs w:val="40"/>
          <w:lang w:val="ro-RO"/>
        </w:rPr>
      </w:pPr>
    </w:p>
    <w:p w:rsidR="00D451C0" w:rsidRPr="00866277" w:rsidRDefault="00D451C0" w:rsidP="00D21B0A">
      <w:pPr>
        <w:tabs>
          <w:tab w:val="left" w:pos="-900"/>
        </w:tabs>
        <w:jc w:val="center"/>
        <w:rPr>
          <w:b/>
          <w:lang w:val="ro-RO"/>
        </w:rPr>
      </w:pPr>
    </w:p>
    <w:p w:rsidR="00D451C0" w:rsidRPr="00866277" w:rsidRDefault="00D451C0" w:rsidP="00D21B0A">
      <w:pPr>
        <w:tabs>
          <w:tab w:val="left" w:pos="-900"/>
        </w:tabs>
        <w:jc w:val="center"/>
        <w:rPr>
          <w:b/>
          <w:lang w:val="ro-RO"/>
        </w:rPr>
      </w:pPr>
    </w:p>
    <w:p w:rsidR="00D451C0" w:rsidRPr="00866277" w:rsidRDefault="00D451C0" w:rsidP="00D21B0A">
      <w:pPr>
        <w:tabs>
          <w:tab w:val="left" w:pos="-900"/>
        </w:tabs>
        <w:jc w:val="center"/>
        <w:rPr>
          <w:b/>
          <w:lang w:val="ro-RO"/>
        </w:rPr>
      </w:pPr>
    </w:p>
    <w:p w:rsidR="00D451C0" w:rsidRPr="00866277" w:rsidRDefault="00D451C0" w:rsidP="00D21B0A">
      <w:pPr>
        <w:tabs>
          <w:tab w:val="left" w:pos="-900"/>
        </w:tabs>
        <w:jc w:val="center"/>
        <w:rPr>
          <w:b/>
          <w:lang w:val="ro-RO"/>
        </w:rPr>
      </w:pPr>
    </w:p>
    <w:p w:rsidR="00D451C0" w:rsidRPr="00866277" w:rsidRDefault="00D451C0" w:rsidP="00D21B0A">
      <w:pPr>
        <w:tabs>
          <w:tab w:val="left" w:pos="-900"/>
        </w:tabs>
        <w:jc w:val="center"/>
        <w:rPr>
          <w:b/>
          <w:lang w:val="ro-RO"/>
        </w:rPr>
      </w:pPr>
    </w:p>
    <w:p w:rsidR="00D451C0" w:rsidRPr="00866277" w:rsidRDefault="00D451C0" w:rsidP="00D21B0A">
      <w:pPr>
        <w:tabs>
          <w:tab w:val="left" w:pos="-900"/>
        </w:tabs>
        <w:jc w:val="center"/>
        <w:rPr>
          <w:b/>
          <w:lang w:val="ro-RO"/>
        </w:rPr>
      </w:pPr>
    </w:p>
    <w:p w:rsidR="00D451C0" w:rsidRPr="00866277" w:rsidRDefault="00D451C0" w:rsidP="00D21B0A">
      <w:pPr>
        <w:tabs>
          <w:tab w:val="left" w:pos="-900"/>
        </w:tabs>
        <w:jc w:val="center"/>
        <w:rPr>
          <w:b/>
          <w:lang w:val="ro-RO"/>
        </w:rPr>
      </w:pPr>
    </w:p>
    <w:p w:rsidR="00D451C0" w:rsidRPr="00866277" w:rsidRDefault="00D451C0" w:rsidP="00D21B0A">
      <w:pPr>
        <w:tabs>
          <w:tab w:val="left" w:pos="-900"/>
        </w:tabs>
        <w:jc w:val="center"/>
        <w:rPr>
          <w:b/>
          <w:lang w:val="ro-RO"/>
        </w:rPr>
      </w:pPr>
    </w:p>
    <w:p w:rsidR="00D451C0" w:rsidRPr="00866277" w:rsidRDefault="00D451C0" w:rsidP="00D21B0A">
      <w:pPr>
        <w:tabs>
          <w:tab w:val="left" w:pos="-900"/>
        </w:tabs>
        <w:jc w:val="center"/>
        <w:rPr>
          <w:b/>
          <w:lang w:val="ro-RO"/>
        </w:rPr>
      </w:pPr>
    </w:p>
    <w:p w:rsidR="00D451C0" w:rsidRPr="00866277" w:rsidRDefault="00D451C0" w:rsidP="00D21B0A">
      <w:pPr>
        <w:tabs>
          <w:tab w:val="left" w:pos="-900"/>
        </w:tabs>
        <w:jc w:val="center"/>
        <w:rPr>
          <w:b/>
          <w:lang w:val="ro-RO"/>
        </w:rPr>
      </w:pPr>
    </w:p>
    <w:p w:rsidR="00D451C0" w:rsidRPr="00866277" w:rsidRDefault="00D451C0" w:rsidP="00D21B0A">
      <w:pPr>
        <w:tabs>
          <w:tab w:val="left" w:pos="-900"/>
        </w:tabs>
        <w:jc w:val="center"/>
        <w:rPr>
          <w:b/>
          <w:lang w:val="ro-RO"/>
        </w:rPr>
      </w:pPr>
    </w:p>
    <w:p w:rsidR="00D451C0" w:rsidRPr="00866277" w:rsidRDefault="00D451C0" w:rsidP="00D21B0A">
      <w:pPr>
        <w:tabs>
          <w:tab w:val="left" w:pos="-900"/>
        </w:tabs>
        <w:jc w:val="center"/>
        <w:rPr>
          <w:b/>
          <w:lang w:val="ro-RO"/>
        </w:rPr>
      </w:pPr>
    </w:p>
    <w:p w:rsidR="00D451C0" w:rsidRPr="00866277" w:rsidRDefault="00D451C0" w:rsidP="00D21B0A">
      <w:pPr>
        <w:tabs>
          <w:tab w:val="left" w:pos="-900"/>
        </w:tabs>
        <w:jc w:val="center"/>
        <w:rPr>
          <w:b/>
          <w:lang w:val="ro-RO"/>
        </w:rPr>
      </w:pPr>
    </w:p>
    <w:p w:rsidR="00D451C0" w:rsidRPr="00866277" w:rsidRDefault="00D451C0" w:rsidP="00D21B0A">
      <w:pPr>
        <w:tabs>
          <w:tab w:val="left" w:pos="-900"/>
        </w:tabs>
        <w:jc w:val="center"/>
        <w:rPr>
          <w:b/>
          <w:lang w:val="ro-RO"/>
        </w:rPr>
      </w:pPr>
    </w:p>
    <w:p w:rsidR="00D451C0" w:rsidRPr="00866277" w:rsidRDefault="00D451C0" w:rsidP="00D21B0A">
      <w:pPr>
        <w:tabs>
          <w:tab w:val="left" w:pos="-900"/>
        </w:tabs>
        <w:jc w:val="center"/>
        <w:rPr>
          <w:b/>
          <w:lang w:val="ro-RO"/>
        </w:rPr>
      </w:pPr>
    </w:p>
    <w:p w:rsidR="00D451C0" w:rsidRPr="00866277" w:rsidRDefault="00D451C0" w:rsidP="00D21B0A">
      <w:pPr>
        <w:tabs>
          <w:tab w:val="left" w:pos="-900"/>
        </w:tabs>
        <w:jc w:val="center"/>
        <w:rPr>
          <w:b/>
          <w:lang w:val="ro-RO"/>
        </w:rPr>
      </w:pPr>
    </w:p>
    <w:p w:rsidR="00D451C0" w:rsidRPr="00866277" w:rsidRDefault="00D451C0" w:rsidP="00D21B0A">
      <w:pPr>
        <w:tabs>
          <w:tab w:val="left" w:pos="-900"/>
        </w:tabs>
        <w:jc w:val="center"/>
        <w:rPr>
          <w:b/>
          <w:lang w:val="ro-RO"/>
        </w:rPr>
      </w:pPr>
    </w:p>
    <w:p w:rsidR="00D451C0" w:rsidRPr="00866277" w:rsidRDefault="00D451C0" w:rsidP="00D21B0A">
      <w:pPr>
        <w:tabs>
          <w:tab w:val="left" w:pos="-900"/>
        </w:tabs>
        <w:jc w:val="center"/>
        <w:rPr>
          <w:b/>
          <w:lang w:val="ro-RO"/>
        </w:rPr>
      </w:pPr>
    </w:p>
    <w:p w:rsidR="00D451C0" w:rsidRPr="00866277" w:rsidRDefault="00D451C0" w:rsidP="00D21B0A">
      <w:pPr>
        <w:tabs>
          <w:tab w:val="left" w:pos="-900"/>
        </w:tabs>
        <w:jc w:val="center"/>
        <w:rPr>
          <w:b/>
          <w:lang w:val="ro-RO"/>
        </w:rPr>
      </w:pPr>
    </w:p>
    <w:p w:rsidR="00D451C0" w:rsidRPr="00866277" w:rsidRDefault="00D451C0" w:rsidP="00D21B0A">
      <w:pPr>
        <w:tabs>
          <w:tab w:val="left" w:pos="-900"/>
        </w:tabs>
        <w:jc w:val="center"/>
        <w:rPr>
          <w:b/>
          <w:lang w:val="ro-RO"/>
        </w:rPr>
      </w:pPr>
    </w:p>
    <w:p w:rsidR="006B3B68" w:rsidRPr="00866277" w:rsidRDefault="006B3B68" w:rsidP="00D21B0A">
      <w:pPr>
        <w:tabs>
          <w:tab w:val="left" w:pos="-900"/>
        </w:tabs>
        <w:jc w:val="center"/>
        <w:rPr>
          <w:b/>
          <w:lang w:val="ro-RO"/>
        </w:rPr>
      </w:pPr>
    </w:p>
    <w:p w:rsidR="006B3B68" w:rsidRPr="00866277" w:rsidRDefault="006B3B68" w:rsidP="00D21B0A">
      <w:pPr>
        <w:tabs>
          <w:tab w:val="left" w:pos="-900"/>
        </w:tabs>
        <w:jc w:val="center"/>
        <w:rPr>
          <w:b/>
          <w:lang w:val="ro-RO"/>
        </w:rPr>
      </w:pPr>
    </w:p>
    <w:p w:rsidR="006B3B68" w:rsidRPr="00866277" w:rsidRDefault="006B3B68" w:rsidP="00D21B0A">
      <w:pPr>
        <w:tabs>
          <w:tab w:val="left" w:pos="-900"/>
        </w:tabs>
        <w:jc w:val="center"/>
        <w:rPr>
          <w:b/>
          <w:lang w:val="ro-RO"/>
        </w:rPr>
      </w:pPr>
    </w:p>
    <w:p w:rsidR="00D451C0" w:rsidRPr="00866277" w:rsidRDefault="00D451C0" w:rsidP="00D21B0A">
      <w:pPr>
        <w:tabs>
          <w:tab w:val="left" w:pos="-900"/>
        </w:tabs>
        <w:jc w:val="center"/>
        <w:rPr>
          <w:b/>
          <w:lang w:val="ro-RO"/>
        </w:rPr>
      </w:pPr>
      <w:r w:rsidRPr="00866277">
        <w:rPr>
          <w:b/>
          <w:lang w:val="ro-RO"/>
        </w:rPr>
        <w:t>Chișinău 20</w:t>
      </w:r>
      <w:r w:rsidR="00B50C61" w:rsidRPr="00866277">
        <w:rPr>
          <w:b/>
          <w:lang w:val="ro-RO"/>
        </w:rPr>
        <w:t>20</w:t>
      </w:r>
    </w:p>
    <w:p w:rsidR="00D451C0" w:rsidRPr="00866277" w:rsidRDefault="00D451C0" w:rsidP="00D21B0A">
      <w:pPr>
        <w:spacing w:after="80"/>
        <w:rPr>
          <w:b/>
          <w:lang w:val="ro-RO"/>
        </w:rPr>
      </w:pPr>
      <w:r w:rsidRPr="00866277">
        <w:rPr>
          <w:b/>
          <w:lang w:val="ro-RO"/>
        </w:rPr>
        <w:br w:type="page"/>
      </w:r>
    </w:p>
    <w:p w:rsidR="00D451C0" w:rsidRPr="00866277" w:rsidRDefault="00D451C0" w:rsidP="00D21B0A">
      <w:pPr>
        <w:tabs>
          <w:tab w:val="left" w:pos="-900"/>
        </w:tabs>
        <w:jc w:val="center"/>
        <w:rPr>
          <w:b/>
          <w:lang w:val="ro-RO"/>
        </w:rPr>
      </w:pPr>
    </w:p>
    <w:p w:rsidR="00D451C0" w:rsidRPr="00866277" w:rsidRDefault="00D451C0" w:rsidP="00D21B0A">
      <w:pPr>
        <w:tabs>
          <w:tab w:val="left" w:pos="-900"/>
        </w:tabs>
        <w:ind w:firstLine="720"/>
        <w:rPr>
          <w:b/>
          <w:lang w:val="ro-RO"/>
        </w:rPr>
      </w:pPr>
      <w:r w:rsidRPr="00866277">
        <w:rPr>
          <w:b/>
          <w:lang w:val="ro-RO"/>
        </w:rPr>
        <w:t>Acronime și abrevieri</w:t>
      </w:r>
    </w:p>
    <w:p w:rsidR="00D451C0" w:rsidRPr="00866277" w:rsidRDefault="00D451C0" w:rsidP="00D21B0A">
      <w:pPr>
        <w:tabs>
          <w:tab w:val="left" w:pos="-900"/>
        </w:tabs>
        <w:rPr>
          <w:b/>
          <w:lang w:val="ro-RO"/>
        </w:rPr>
      </w:pPr>
    </w:p>
    <w:p w:rsidR="00742549" w:rsidRPr="00866277" w:rsidRDefault="00742549" w:rsidP="00D21B0A">
      <w:pPr>
        <w:tabs>
          <w:tab w:val="left" w:pos="-900"/>
        </w:tabs>
        <w:spacing w:after="120"/>
        <w:ind w:firstLine="576"/>
        <w:rPr>
          <w:lang w:val="ro-RO"/>
        </w:rPr>
      </w:pPr>
      <w:r w:rsidRPr="00866277">
        <w:rPr>
          <w:b/>
          <w:lang w:val="ro-RO"/>
        </w:rPr>
        <w:t>AAC</w:t>
      </w:r>
      <w:r w:rsidRPr="00866277">
        <w:rPr>
          <w:lang w:val="ro-RO"/>
        </w:rPr>
        <w:t xml:space="preserve"> - Autoritatea Aeronautică Civilă</w:t>
      </w:r>
    </w:p>
    <w:p w:rsidR="00742549" w:rsidRPr="00866277" w:rsidRDefault="00742549" w:rsidP="00D21B0A">
      <w:pPr>
        <w:tabs>
          <w:tab w:val="left" w:pos="-900"/>
        </w:tabs>
        <w:spacing w:after="120"/>
        <w:ind w:firstLine="576"/>
        <w:rPr>
          <w:lang w:val="ro-RO"/>
        </w:rPr>
      </w:pPr>
      <w:r w:rsidRPr="00866277">
        <w:rPr>
          <w:b/>
          <w:lang w:val="ro-RO"/>
        </w:rPr>
        <w:t>ANRCETI</w:t>
      </w:r>
      <w:r w:rsidRPr="00866277">
        <w:rPr>
          <w:lang w:val="ro-RO"/>
        </w:rPr>
        <w:t xml:space="preserve"> - Agenția Națională pentru Reglementarea în Comunicații Electronice </w:t>
      </w:r>
      <w:proofErr w:type="spellStart"/>
      <w:r w:rsidRPr="00866277">
        <w:rPr>
          <w:lang w:val="ro-RO"/>
        </w:rPr>
        <w:t>şi</w:t>
      </w:r>
      <w:proofErr w:type="spellEnd"/>
      <w:r w:rsidRPr="00866277">
        <w:rPr>
          <w:lang w:val="ro-RO"/>
        </w:rPr>
        <w:t xml:space="preserve"> Tehnologia Informației</w:t>
      </w:r>
    </w:p>
    <w:p w:rsidR="00742549" w:rsidRPr="00866277" w:rsidRDefault="00742549" w:rsidP="00D21B0A">
      <w:pPr>
        <w:tabs>
          <w:tab w:val="left" w:pos="-900"/>
        </w:tabs>
        <w:spacing w:after="120"/>
        <w:ind w:firstLine="576"/>
        <w:rPr>
          <w:lang w:val="ro-RO"/>
        </w:rPr>
      </w:pPr>
      <w:r w:rsidRPr="00866277">
        <w:rPr>
          <w:b/>
          <w:lang w:val="ro-RO"/>
        </w:rPr>
        <w:t>ANRE</w:t>
      </w:r>
      <w:r w:rsidRPr="00866277">
        <w:rPr>
          <w:lang w:val="ro-RO"/>
        </w:rPr>
        <w:t xml:space="preserve"> - Agenția Națională pentru Reglementare în Energetică </w:t>
      </w:r>
    </w:p>
    <w:p w:rsidR="00742549" w:rsidRPr="00866277" w:rsidRDefault="00742549" w:rsidP="00D21B0A">
      <w:pPr>
        <w:tabs>
          <w:tab w:val="left" w:pos="-900"/>
        </w:tabs>
        <w:spacing w:after="120"/>
        <w:ind w:firstLine="576"/>
        <w:rPr>
          <w:lang w:val="ro-RO"/>
        </w:rPr>
      </w:pPr>
      <w:r w:rsidRPr="00866277">
        <w:rPr>
          <w:b/>
          <w:lang w:val="ro-RO"/>
        </w:rPr>
        <w:t>ANSA</w:t>
      </w:r>
      <w:r w:rsidRPr="00866277">
        <w:rPr>
          <w:lang w:val="ro-RO"/>
        </w:rPr>
        <w:t xml:space="preserve"> - Agenția Națională pentru Siguranța Alimentelor</w:t>
      </w:r>
    </w:p>
    <w:p w:rsidR="00742549" w:rsidRPr="00866277" w:rsidRDefault="00742549" w:rsidP="00D21B0A">
      <w:pPr>
        <w:tabs>
          <w:tab w:val="left" w:pos="-900"/>
        </w:tabs>
        <w:spacing w:after="120"/>
        <w:ind w:firstLine="576"/>
        <w:rPr>
          <w:lang w:val="ro-RO"/>
        </w:rPr>
      </w:pPr>
      <w:r w:rsidRPr="00866277">
        <w:rPr>
          <w:b/>
          <w:lang w:val="ro-RO"/>
        </w:rPr>
        <w:t>ANSP</w:t>
      </w:r>
      <w:r w:rsidRPr="00866277">
        <w:rPr>
          <w:lang w:val="ro-RO"/>
        </w:rPr>
        <w:t xml:space="preserve"> - Agenția Națională de Sănătate Publică </w:t>
      </w:r>
    </w:p>
    <w:p w:rsidR="00742549" w:rsidRPr="00866277" w:rsidRDefault="00742549" w:rsidP="00D21B0A">
      <w:pPr>
        <w:tabs>
          <w:tab w:val="left" w:pos="-900"/>
        </w:tabs>
        <w:spacing w:after="120"/>
        <w:ind w:firstLine="576"/>
        <w:rPr>
          <w:lang w:val="ro-RO"/>
        </w:rPr>
      </w:pPr>
      <w:r w:rsidRPr="00866277">
        <w:rPr>
          <w:b/>
          <w:lang w:val="ro-RO"/>
        </w:rPr>
        <w:t>AO</w:t>
      </w:r>
      <w:r w:rsidRPr="00866277">
        <w:rPr>
          <w:lang w:val="ro-RO"/>
        </w:rPr>
        <w:t xml:space="preserve"> – asociații obștești</w:t>
      </w:r>
    </w:p>
    <w:p w:rsidR="00742549" w:rsidRPr="00866277" w:rsidRDefault="00742549" w:rsidP="00D21B0A">
      <w:pPr>
        <w:tabs>
          <w:tab w:val="left" w:pos="-900"/>
        </w:tabs>
        <w:spacing w:after="120"/>
        <w:ind w:firstLine="576"/>
        <w:rPr>
          <w:lang w:val="ro-RO"/>
        </w:rPr>
      </w:pPr>
      <w:r w:rsidRPr="00866277">
        <w:rPr>
          <w:b/>
          <w:lang w:val="ro-RO"/>
        </w:rPr>
        <w:t>APCSP</w:t>
      </w:r>
      <w:r w:rsidRPr="00866277">
        <w:rPr>
          <w:lang w:val="ro-RO"/>
        </w:rPr>
        <w:t xml:space="preserve"> - Agenția pentru Protecția Consumatorilor și Supravegherea Pieței</w:t>
      </w:r>
    </w:p>
    <w:p w:rsidR="00742549" w:rsidRPr="00866277" w:rsidRDefault="00742549" w:rsidP="00D21B0A">
      <w:pPr>
        <w:tabs>
          <w:tab w:val="left" w:pos="-900"/>
        </w:tabs>
        <w:spacing w:after="120"/>
        <w:ind w:firstLine="576"/>
        <w:rPr>
          <w:lang w:val="ro-RO"/>
        </w:rPr>
      </w:pPr>
      <w:r w:rsidRPr="00866277">
        <w:rPr>
          <w:b/>
          <w:lang w:val="ro-RO"/>
        </w:rPr>
        <w:t>AST</w:t>
      </w:r>
      <w:r w:rsidRPr="00866277">
        <w:rPr>
          <w:lang w:val="ro-RO"/>
        </w:rPr>
        <w:t>- Agenția pentru Supravegherea Tehnică</w:t>
      </w:r>
    </w:p>
    <w:p w:rsidR="00742549" w:rsidRPr="00866277" w:rsidRDefault="00742549" w:rsidP="00D21B0A">
      <w:pPr>
        <w:tabs>
          <w:tab w:val="left" w:pos="-900"/>
        </w:tabs>
        <w:spacing w:after="120"/>
        <w:ind w:firstLine="576"/>
        <w:rPr>
          <w:lang w:val="ro-RO"/>
        </w:rPr>
      </w:pPr>
      <w:r w:rsidRPr="00866277">
        <w:rPr>
          <w:b/>
          <w:lang w:val="ro-RO"/>
        </w:rPr>
        <w:t xml:space="preserve">BNM </w:t>
      </w:r>
      <w:r w:rsidRPr="00866277">
        <w:rPr>
          <w:lang w:val="ro-RO"/>
        </w:rPr>
        <w:t>- Banca Națională a Moldovei</w:t>
      </w:r>
    </w:p>
    <w:p w:rsidR="00742549" w:rsidRPr="00866277" w:rsidRDefault="00742549" w:rsidP="00D21B0A">
      <w:pPr>
        <w:tabs>
          <w:tab w:val="left" w:pos="-900"/>
        </w:tabs>
        <w:spacing w:after="120"/>
        <w:ind w:firstLine="576"/>
        <w:rPr>
          <w:lang w:val="ro-RO"/>
        </w:rPr>
      </w:pPr>
      <w:r w:rsidRPr="00866277">
        <w:rPr>
          <w:b/>
          <w:lang w:val="ro-RO"/>
        </w:rPr>
        <w:t>CNPF</w:t>
      </w:r>
      <w:r w:rsidRPr="00866277">
        <w:rPr>
          <w:lang w:val="ro-RO"/>
        </w:rPr>
        <w:t xml:space="preserve"> - Comisia Națională a Pieței Financiare</w:t>
      </w:r>
    </w:p>
    <w:p w:rsidR="00742549" w:rsidRPr="00866277" w:rsidRDefault="00742549" w:rsidP="00D21B0A">
      <w:pPr>
        <w:tabs>
          <w:tab w:val="left" w:pos="-900"/>
        </w:tabs>
        <w:spacing w:after="120"/>
        <w:ind w:firstLine="576"/>
        <w:rPr>
          <w:lang w:val="ro-RO"/>
        </w:rPr>
      </w:pPr>
      <w:r w:rsidRPr="00866277">
        <w:rPr>
          <w:b/>
          <w:bCs/>
          <w:lang w:val="ro-RO"/>
        </w:rPr>
        <w:t>IPM</w:t>
      </w:r>
      <w:r w:rsidRPr="00866277">
        <w:rPr>
          <w:bCs/>
          <w:lang w:val="ro-RO"/>
        </w:rPr>
        <w:t xml:space="preserve"> - Inspectoratul pentru Protecția Mediului</w:t>
      </w:r>
    </w:p>
    <w:p w:rsidR="00742549" w:rsidRPr="00866277" w:rsidRDefault="00742549" w:rsidP="00D21B0A">
      <w:pPr>
        <w:tabs>
          <w:tab w:val="left" w:pos="-900"/>
        </w:tabs>
        <w:spacing w:after="120"/>
        <w:ind w:firstLine="576"/>
        <w:rPr>
          <w:lang w:val="ro-RO"/>
        </w:rPr>
      </w:pPr>
      <w:r w:rsidRPr="00866277">
        <w:rPr>
          <w:b/>
          <w:lang w:val="ro-RO"/>
        </w:rPr>
        <w:t>MADRM</w:t>
      </w:r>
      <w:r w:rsidRPr="00866277">
        <w:rPr>
          <w:lang w:val="ro-RO"/>
        </w:rPr>
        <w:t xml:space="preserve"> - Ministerul Agriculturii, Dezvoltării Regionale și Mediului </w:t>
      </w:r>
    </w:p>
    <w:p w:rsidR="00742549" w:rsidRPr="00866277" w:rsidRDefault="00742549" w:rsidP="00D21B0A">
      <w:pPr>
        <w:tabs>
          <w:tab w:val="left" w:pos="-900"/>
        </w:tabs>
        <w:spacing w:after="120"/>
        <w:ind w:firstLine="576"/>
        <w:rPr>
          <w:highlight w:val="yellow"/>
          <w:lang w:val="ro-RO"/>
        </w:rPr>
      </w:pPr>
      <w:r w:rsidRPr="00866277">
        <w:rPr>
          <w:b/>
          <w:lang w:val="ro-RO"/>
        </w:rPr>
        <w:t xml:space="preserve">MECC </w:t>
      </w:r>
      <w:r w:rsidRPr="00866277">
        <w:rPr>
          <w:lang w:val="ro-RO"/>
        </w:rPr>
        <w:t>- Ministerul Educației, Culturii și Cercetării</w:t>
      </w:r>
    </w:p>
    <w:p w:rsidR="00742549" w:rsidRPr="00866277" w:rsidRDefault="00742549" w:rsidP="00D21B0A">
      <w:pPr>
        <w:tabs>
          <w:tab w:val="left" w:pos="-900"/>
        </w:tabs>
        <w:spacing w:after="120"/>
        <w:ind w:firstLine="576"/>
        <w:rPr>
          <w:lang w:val="ro-RO"/>
        </w:rPr>
      </w:pPr>
      <w:r w:rsidRPr="00866277">
        <w:rPr>
          <w:b/>
          <w:lang w:val="ro-RO"/>
        </w:rPr>
        <w:t xml:space="preserve">MEI </w:t>
      </w:r>
      <w:r w:rsidRPr="00866277">
        <w:rPr>
          <w:lang w:val="ro-RO"/>
        </w:rPr>
        <w:t>- Ministerul Economiei și Infrastructurii</w:t>
      </w:r>
    </w:p>
    <w:p w:rsidR="00742549" w:rsidRPr="00866277" w:rsidRDefault="00742549" w:rsidP="00EA70CE">
      <w:pPr>
        <w:tabs>
          <w:tab w:val="left" w:pos="-900"/>
        </w:tabs>
        <w:spacing w:after="120"/>
        <w:ind w:firstLine="576"/>
        <w:jc w:val="both"/>
        <w:rPr>
          <w:lang w:val="ro-RO"/>
        </w:rPr>
      </w:pPr>
      <w:r w:rsidRPr="00866277">
        <w:rPr>
          <w:b/>
          <w:lang w:val="ro-RO"/>
        </w:rPr>
        <w:t>MJ</w:t>
      </w:r>
      <w:r w:rsidRPr="00866277">
        <w:rPr>
          <w:lang w:val="ro-RO"/>
        </w:rPr>
        <w:t xml:space="preserve"> – Ministerul Justiției</w:t>
      </w:r>
    </w:p>
    <w:p w:rsidR="00742549" w:rsidRPr="00866277" w:rsidRDefault="00742549" w:rsidP="00D21B0A">
      <w:pPr>
        <w:tabs>
          <w:tab w:val="left" w:pos="-900"/>
        </w:tabs>
        <w:spacing w:after="120"/>
        <w:ind w:firstLine="576"/>
        <w:rPr>
          <w:lang w:val="ro-RO"/>
        </w:rPr>
      </w:pPr>
      <w:r w:rsidRPr="00866277">
        <w:rPr>
          <w:b/>
          <w:lang w:val="ro-RO"/>
        </w:rPr>
        <w:t>MSMPS</w:t>
      </w:r>
      <w:r w:rsidRPr="00866277">
        <w:rPr>
          <w:lang w:val="ro-RO"/>
        </w:rPr>
        <w:t xml:space="preserve"> - Ministerul Sănătății, Muncii și Protecției Sociale</w:t>
      </w:r>
    </w:p>
    <w:p w:rsidR="00742549" w:rsidRPr="00866277" w:rsidRDefault="00742549" w:rsidP="00D21B0A">
      <w:pPr>
        <w:tabs>
          <w:tab w:val="left" w:pos="-900"/>
        </w:tabs>
        <w:spacing w:after="120"/>
        <w:ind w:firstLine="576"/>
        <w:rPr>
          <w:rFonts w:eastAsia="Calibri"/>
          <w:lang w:val="ro-RO"/>
        </w:rPr>
      </w:pPr>
      <w:r w:rsidRPr="00866277">
        <w:rPr>
          <w:rFonts w:eastAsia="Calibri"/>
          <w:b/>
          <w:lang w:val="ro-RO"/>
        </w:rPr>
        <w:t>ONG</w:t>
      </w:r>
      <w:r w:rsidRPr="00866277">
        <w:rPr>
          <w:rFonts w:eastAsia="Calibri"/>
          <w:lang w:val="ro-RO"/>
        </w:rPr>
        <w:t xml:space="preserve"> – organizații neguvernamentale</w:t>
      </w:r>
    </w:p>
    <w:p w:rsidR="00742549" w:rsidRPr="00866277" w:rsidRDefault="00742549" w:rsidP="00D21B0A">
      <w:pPr>
        <w:tabs>
          <w:tab w:val="left" w:pos="-900"/>
        </w:tabs>
        <w:spacing w:after="120"/>
        <w:ind w:firstLine="576"/>
        <w:rPr>
          <w:lang w:val="ro-RO"/>
        </w:rPr>
      </w:pPr>
      <w:r w:rsidRPr="00866277">
        <w:rPr>
          <w:b/>
          <w:bCs/>
          <w:lang w:val="ro-RO"/>
        </w:rPr>
        <w:t>SV</w:t>
      </w:r>
      <w:r w:rsidRPr="00866277">
        <w:rPr>
          <w:bCs/>
          <w:lang w:val="ro-RO"/>
        </w:rPr>
        <w:t xml:space="preserve"> - Serviciul Vamal</w:t>
      </w:r>
    </w:p>
    <w:p w:rsidR="00D451C0" w:rsidRPr="00866277" w:rsidRDefault="00D451C0" w:rsidP="00D21B0A">
      <w:pPr>
        <w:tabs>
          <w:tab w:val="left" w:pos="-900"/>
        </w:tabs>
        <w:rPr>
          <w:rFonts w:ascii="Arial Narrow" w:hAnsi="Arial Narrow"/>
          <w:lang w:val="ro-RO"/>
        </w:rPr>
      </w:pPr>
    </w:p>
    <w:p w:rsidR="00D451C0" w:rsidRPr="00866277" w:rsidRDefault="00D451C0" w:rsidP="00D21B0A">
      <w:pPr>
        <w:tabs>
          <w:tab w:val="left" w:pos="-900"/>
        </w:tabs>
        <w:rPr>
          <w:rFonts w:ascii="Arial Narrow" w:hAnsi="Arial Narrow"/>
          <w:b/>
          <w:lang w:val="ro-RO"/>
        </w:rPr>
      </w:pPr>
    </w:p>
    <w:p w:rsidR="00D451C0" w:rsidRPr="00866277" w:rsidRDefault="00D451C0" w:rsidP="00D21B0A">
      <w:pPr>
        <w:tabs>
          <w:tab w:val="left" w:pos="-900"/>
        </w:tabs>
        <w:rPr>
          <w:rFonts w:ascii="Arial Narrow" w:hAnsi="Arial Narrow"/>
          <w:b/>
          <w:lang w:val="ro-RO"/>
        </w:rPr>
      </w:pPr>
    </w:p>
    <w:p w:rsidR="00D451C0" w:rsidRPr="00866277" w:rsidRDefault="00D451C0" w:rsidP="00D21B0A">
      <w:pPr>
        <w:tabs>
          <w:tab w:val="left" w:pos="-900"/>
        </w:tabs>
        <w:rPr>
          <w:rFonts w:ascii="Arial Narrow" w:hAnsi="Arial Narrow"/>
          <w:b/>
          <w:lang w:val="ro-RO"/>
        </w:rPr>
      </w:pPr>
    </w:p>
    <w:p w:rsidR="00D451C0" w:rsidRPr="00866277" w:rsidRDefault="00D451C0" w:rsidP="00D21B0A">
      <w:pPr>
        <w:tabs>
          <w:tab w:val="left" w:pos="-900"/>
        </w:tabs>
        <w:rPr>
          <w:rFonts w:ascii="Arial Narrow" w:hAnsi="Arial Narrow"/>
          <w:b/>
          <w:lang w:val="ro-RO"/>
        </w:rPr>
      </w:pPr>
    </w:p>
    <w:p w:rsidR="00D451C0" w:rsidRPr="00866277" w:rsidRDefault="00D451C0" w:rsidP="00D21B0A">
      <w:pPr>
        <w:tabs>
          <w:tab w:val="left" w:pos="-900"/>
        </w:tabs>
        <w:rPr>
          <w:rFonts w:ascii="Arial Narrow" w:hAnsi="Arial Narrow"/>
          <w:b/>
          <w:lang w:val="ro-RO"/>
        </w:rPr>
      </w:pPr>
    </w:p>
    <w:p w:rsidR="00D451C0" w:rsidRPr="00866277" w:rsidRDefault="00D451C0" w:rsidP="00D21B0A">
      <w:pPr>
        <w:tabs>
          <w:tab w:val="left" w:pos="-900"/>
        </w:tabs>
        <w:rPr>
          <w:rFonts w:ascii="Arial Narrow" w:hAnsi="Arial Narrow"/>
          <w:b/>
          <w:lang w:val="ro-RO"/>
        </w:rPr>
      </w:pPr>
    </w:p>
    <w:p w:rsidR="00D451C0" w:rsidRPr="00866277" w:rsidRDefault="00D451C0" w:rsidP="00D21B0A">
      <w:pPr>
        <w:tabs>
          <w:tab w:val="left" w:pos="-900"/>
        </w:tabs>
        <w:rPr>
          <w:rFonts w:ascii="Arial Narrow" w:hAnsi="Arial Narrow"/>
          <w:b/>
          <w:lang w:val="ro-RO"/>
        </w:rPr>
      </w:pPr>
    </w:p>
    <w:p w:rsidR="00D451C0" w:rsidRPr="00866277" w:rsidRDefault="00D451C0" w:rsidP="00D21B0A">
      <w:pPr>
        <w:tabs>
          <w:tab w:val="left" w:pos="-900"/>
        </w:tabs>
        <w:rPr>
          <w:rFonts w:ascii="Arial Narrow" w:hAnsi="Arial Narrow"/>
          <w:b/>
          <w:lang w:val="ro-RO"/>
        </w:rPr>
      </w:pPr>
    </w:p>
    <w:p w:rsidR="00D451C0" w:rsidRPr="00866277" w:rsidRDefault="00D451C0" w:rsidP="00D21B0A">
      <w:pPr>
        <w:tabs>
          <w:tab w:val="left" w:pos="-900"/>
        </w:tabs>
        <w:rPr>
          <w:rFonts w:ascii="Arial Narrow" w:hAnsi="Arial Narrow"/>
          <w:b/>
          <w:lang w:val="ro-RO"/>
        </w:rPr>
      </w:pPr>
    </w:p>
    <w:p w:rsidR="00D451C0" w:rsidRPr="00866277" w:rsidRDefault="00D451C0" w:rsidP="00D21B0A">
      <w:pPr>
        <w:tabs>
          <w:tab w:val="left" w:pos="-900"/>
        </w:tabs>
        <w:rPr>
          <w:rFonts w:ascii="Arial Narrow" w:hAnsi="Arial Narrow"/>
          <w:b/>
          <w:lang w:val="ro-RO"/>
        </w:rPr>
      </w:pPr>
    </w:p>
    <w:p w:rsidR="00D451C0" w:rsidRPr="00866277" w:rsidRDefault="00D451C0" w:rsidP="00D21B0A">
      <w:pPr>
        <w:tabs>
          <w:tab w:val="left" w:pos="-900"/>
        </w:tabs>
        <w:rPr>
          <w:rFonts w:ascii="Arial Narrow" w:hAnsi="Arial Narrow"/>
          <w:b/>
          <w:lang w:val="ro-RO"/>
        </w:rPr>
      </w:pPr>
    </w:p>
    <w:p w:rsidR="00D451C0" w:rsidRPr="00866277" w:rsidRDefault="00D451C0" w:rsidP="00D21B0A">
      <w:pPr>
        <w:tabs>
          <w:tab w:val="left" w:pos="-900"/>
        </w:tabs>
        <w:rPr>
          <w:rFonts w:ascii="Arial Narrow" w:hAnsi="Arial Narrow"/>
          <w:b/>
          <w:lang w:val="ro-RO"/>
        </w:rPr>
      </w:pPr>
    </w:p>
    <w:p w:rsidR="00D451C0" w:rsidRPr="00866277" w:rsidRDefault="00D451C0" w:rsidP="00D21B0A">
      <w:pPr>
        <w:tabs>
          <w:tab w:val="left" w:pos="-900"/>
        </w:tabs>
        <w:rPr>
          <w:rFonts w:ascii="Arial Narrow" w:hAnsi="Arial Narrow"/>
          <w:b/>
          <w:lang w:val="ro-RO"/>
        </w:rPr>
      </w:pPr>
    </w:p>
    <w:p w:rsidR="00D451C0" w:rsidRPr="00866277" w:rsidRDefault="00D451C0" w:rsidP="00D21B0A">
      <w:pPr>
        <w:tabs>
          <w:tab w:val="left" w:pos="-900"/>
        </w:tabs>
        <w:rPr>
          <w:rFonts w:ascii="Arial Narrow" w:hAnsi="Arial Narrow"/>
          <w:b/>
          <w:lang w:val="ro-RO"/>
        </w:rPr>
      </w:pPr>
    </w:p>
    <w:p w:rsidR="00D451C0" w:rsidRPr="00866277" w:rsidRDefault="00D451C0" w:rsidP="00D21B0A">
      <w:pPr>
        <w:tabs>
          <w:tab w:val="left" w:pos="-900"/>
        </w:tabs>
        <w:rPr>
          <w:rFonts w:ascii="Arial Narrow" w:hAnsi="Arial Narrow"/>
          <w:b/>
          <w:lang w:val="ro-RO"/>
        </w:rPr>
      </w:pPr>
    </w:p>
    <w:p w:rsidR="00D451C0" w:rsidRPr="00866277" w:rsidRDefault="00D451C0" w:rsidP="00D21B0A">
      <w:pPr>
        <w:tabs>
          <w:tab w:val="left" w:pos="-900"/>
        </w:tabs>
        <w:rPr>
          <w:rFonts w:ascii="Arial Narrow" w:hAnsi="Arial Narrow"/>
          <w:b/>
          <w:lang w:val="ro-RO"/>
        </w:rPr>
      </w:pPr>
    </w:p>
    <w:p w:rsidR="00D451C0" w:rsidRPr="00866277" w:rsidRDefault="00D451C0" w:rsidP="00D21B0A">
      <w:pPr>
        <w:spacing w:after="80"/>
        <w:rPr>
          <w:rFonts w:ascii="Arial Narrow" w:hAnsi="Arial Narrow"/>
          <w:b/>
          <w:lang w:val="ro-RO"/>
        </w:rPr>
      </w:pPr>
      <w:r w:rsidRPr="00866277">
        <w:rPr>
          <w:rFonts w:ascii="Arial Narrow" w:hAnsi="Arial Narrow"/>
          <w:b/>
          <w:lang w:val="ro-RO"/>
        </w:rPr>
        <w:br w:type="page"/>
      </w:r>
    </w:p>
    <w:p w:rsidR="00D451C0" w:rsidRPr="00866277" w:rsidRDefault="00D451C0" w:rsidP="001325FB">
      <w:pPr>
        <w:ind w:firstLine="720"/>
        <w:jc w:val="both"/>
        <w:rPr>
          <w:b/>
          <w:lang w:val="ro-RO"/>
        </w:rPr>
      </w:pPr>
      <w:r w:rsidRPr="00866277">
        <w:rPr>
          <w:b/>
          <w:lang w:val="ro-RO"/>
        </w:rPr>
        <w:lastRenderedPageBreak/>
        <w:t>Introducere</w:t>
      </w:r>
    </w:p>
    <w:p w:rsidR="00D451C0" w:rsidRPr="00866277" w:rsidRDefault="00D451C0" w:rsidP="001325FB">
      <w:pPr>
        <w:ind w:firstLine="720"/>
        <w:jc w:val="both"/>
        <w:rPr>
          <w:lang w:val="ro-RO"/>
        </w:rPr>
      </w:pPr>
      <w:r w:rsidRPr="00866277">
        <w:rPr>
          <w:lang w:val="ro-RO"/>
        </w:rPr>
        <w:t xml:space="preserve">Planul de acțiuni </w:t>
      </w:r>
      <w:r w:rsidRPr="00866277">
        <w:rPr>
          <w:bCs/>
          <w:lang w:val="ro-RO"/>
        </w:rPr>
        <w:t xml:space="preserve">pentru perioada a doua (2017-2020) privind implementarea Strategiei în domeniul </w:t>
      </w:r>
      <w:r w:rsidR="008C7435" w:rsidRPr="00866277">
        <w:rPr>
          <w:bCs/>
          <w:lang w:val="ro-RO"/>
        </w:rPr>
        <w:t>protecției</w:t>
      </w:r>
      <w:r w:rsidRPr="00866277">
        <w:rPr>
          <w:bCs/>
          <w:lang w:val="ro-RO"/>
        </w:rPr>
        <w:t xml:space="preserve"> consumatorilor pentru anii 2013-2020</w:t>
      </w:r>
      <w:r w:rsidRPr="00866277">
        <w:rPr>
          <w:b/>
          <w:bCs/>
          <w:lang w:val="ro-RO"/>
        </w:rPr>
        <w:t xml:space="preserve"> </w:t>
      </w:r>
      <w:r w:rsidRPr="00866277">
        <w:rPr>
          <w:bCs/>
          <w:lang w:val="ro-RO"/>
        </w:rPr>
        <w:t xml:space="preserve">a fost aprobat prin </w:t>
      </w:r>
      <w:r w:rsidR="00181917" w:rsidRPr="00866277">
        <w:rPr>
          <w:bCs/>
          <w:lang w:val="ro-RO"/>
        </w:rPr>
        <w:t>Hotărârea</w:t>
      </w:r>
      <w:r w:rsidRPr="00866277">
        <w:rPr>
          <w:bCs/>
          <w:lang w:val="ro-RO"/>
        </w:rPr>
        <w:t xml:space="preserve"> Guvernului nr. </w:t>
      </w:r>
      <w:r w:rsidRPr="00866277">
        <w:rPr>
          <w:lang w:val="ro-RO"/>
        </w:rPr>
        <w:t>449 din</w:t>
      </w:r>
      <w:r w:rsidR="001325FB" w:rsidRPr="00866277">
        <w:rPr>
          <w:lang w:val="ro-RO"/>
        </w:rPr>
        <w:t xml:space="preserve"> </w:t>
      </w:r>
      <w:r w:rsidRPr="00866277">
        <w:rPr>
          <w:lang w:val="ro-RO"/>
        </w:rPr>
        <w:t xml:space="preserve">19.06.2017 cu privire la modificarea </w:t>
      </w:r>
      <w:r w:rsidR="00181917" w:rsidRPr="00866277">
        <w:rPr>
          <w:lang w:val="ro-RO"/>
        </w:rPr>
        <w:t>Hotărârii</w:t>
      </w:r>
      <w:r w:rsidRPr="00866277">
        <w:rPr>
          <w:lang w:val="ro-RO"/>
        </w:rPr>
        <w:t xml:space="preserve"> Guvernului nr.560 din 24 iulie 2013</w:t>
      </w:r>
    </w:p>
    <w:p w:rsidR="00D451C0" w:rsidRPr="00866277" w:rsidRDefault="00D451C0" w:rsidP="00787CDE">
      <w:pPr>
        <w:pStyle w:val="cb"/>
        <w:ind w:firstLine="720"/>
        <w:jc w:val="both"/>
        <w:rPr>
          <w:lang w:val="ro-RO"/>
        </w:rPr>
      </w:pPr>
    </w:p>
    <w:p w:rsidR="00D451C0" w:rsidRPr="00866277" w:rsidRDefault="00D451C0" w:rsidP="001325FB">
      <w:pPr>
        <w:pStyle w:val="cb"/>
        <w:spacing w:after="120"/>
        <w:ind w:firstLine="720"/>
        <w:jc w:val="both"/>
        <w:rPr>
          <w:lang w:val="ro-RO"/>
        </w:rPr>
      </w:pPr>
      <w:r w:rsidRPr="00866277">
        <w:rPr>
          <w:lang w:val="ro-RO"/>
        </w:rPr>
        <w:t xml:space="preserve">Prezentul Raport analizează gradul de implementare a </w:t>
      </w:r>
      <w:r w:rsidR="002A58C1" w:rsidRPr="00866277">
        <w:rPr>
          <w:lang w:val="ro-RO"/>
        </w:rPr>
        <w:t xml:space="preserve">măsurilor </w:t>
      </w:r>
      <w:r w:rsidRPr="00866277">
        <w:rPr>
          <w:lang w:val="ro-RO"/>
        </w:rPr>
        <w:t xml:space="preserve">și realizarea acțiunilor prevăzute </w:t>
      </w:r>
      <w:r w:rsidR="0021796C" w:rsidRPr="00866277">
        <w:rPr>
          <w:lang w:val="ro-RO"/>
        </w:rPr>
        <w:t>pentru anul 2019</w:t>
      </w:r>
      <w:r w:rsidR="005C11D0" w:rsidRPr="00866277">
        <w:rPr>
          <w:lang w:val="ro-RO"/>
        </w:rPr>
        <w:t xml:space="preserve"> </w:t>
      </w:r>
      <w:r w:rsidRPr="00866277">
        <w:rPr>
          <w:lang w:val="ro-RO"/>
        </w:rPr>
        <w:t xml:space="preserve">de implementare a Strategiei </w:t>
      </w:r>
      <w:r w:rsidR="00720F39" w:rsidRPr="00866277">
        <w:rPr>
          <w:lang w:val="ro-RO"/>
        </w:rPr>
        <w:t>în domeniul protecției consumatorilor pentru anii 2013-2020</w:t>
      </w:r>
      <w:r w:rsidRPr="00866277">
        <w:rPr>
          <w:lang w:val="ro-RO"/>
        </w:rPr>
        <w:t>.</w:t>
      </w:r>
    </w:p>
    <w:p w:rsidR="00D451C0" w:rsidRPr="00866277" w:rsidRDefault="00D451C0" w:rsidP="001325FB">
      <w:pPr>
        <w:ind w:firstLine="720"/>
        <w:jc w:val="both"/>
        <w:rPr>
          <w:rFonts w:ascii="Arial Narrow" w:hAnsi="Arial Narrow"/>
          <w:lang w:val="ro-RO"/>
        </w:rPr>
      </w:pPr>
    </w:p>
    <w:p w:rsidR="00D451C0" w:rsidRPr="00866277" w:rsidRDefault="00D451C0" w:rsidP="001325FB">
      <w:pPr>
        <w:ind w:firstLine="720"/>
        <w:jc w:val="both"/>
        <w:rPr>
          <w:b/>
          <w:lang w:val="ro-RO"/>
        </w:rPr>
      </w:pPr>
      <w:r w:rsidRPr="00866277">
        <w:rPr>
          <w:b/>
          <w:lang w:val="ro-RO"/>
        </w:rPr>
        <w:t>Sumar executiv</w:t>
      </w:r>
    </w:p>
    <w:p w:rsidR="00D451C0" w:rsidRPr="00866277" w:rsidRDefault="00DD0859" w:rsidP="001325FB">
      <w:pPr>
        <w:ind w:firstLine="720"/>
        <w:jc w:val="both"/>
        <w:rPr>
          <w:lang w:val="ro-RO"/>
        </w:rPr>
      </w:pPr>
      <w:r w:rsidRPr="00866277">
        <w:rPr>
          <w:lang w:val="ro-RO"/>
        </w:rPr>
        <w:t>U</w:t>
      </w:r>
      <w:r w:rsidR="00D451C0" w:rsidRPr="00866277">
        <w:rPr>
          <w:lang w:val="ro-RO"/>
        </w:rPr>
        <w:t xml:space="preserve">na din prioritățile de dezvoltare ale statului continuă a fi creșterea nivelului de protecție a consumatorilor, precum </w:t>
      </w:r>
      <w:proofErr w:type="spellStart"/>
      <w:r w:rsidR="00D451C0" w:rsidRPr="00866277">
        <w:rPr>
          <w:lang w:val="ro-RO"/>
        </w:rPr>
        <w:t>şi</w:t>
      </w:r>
      <w:proofErr w:type="spellEnd"/>
      <w:r w:rsidR="00D451C0" w:rsidRPr="00866277">
        <w:rPr>
          <w:lang w:val="ro-RO"/>
        </w:rPr>
        <w:t xml:space="preserve"> realizarea drepturilor consumatorilor în conformitate cu </w:t>
      </w:r>
      <w:r w:rsidR="008C7435" w:rsidRPr="00866277">
        <w:rPr>
          <w:lang w:val="ro-RO"/>
        </w:rPr>
        <w:t>legislația</w:t>
      </w:r>
      <w:r w:rsidR="00D451C0" w:rsidRPr="00866277">
        <w:rPr>
          <w:lang w:val="ro-RO"/>
        </w:rPr>
        <w:t xml:space="preserve">. Astfel că, autoritățile competente ale statului au întreprins un șir de măsuri pentru a fi realizate acțiunile prevăzute pentru implementarea Strategiei în domeniul protecției consumatorilor </w:t>
      </w:r>
      <w:r w:rsidR="001325FB" w:rsidRPr="00866277">
        <w:rPr>
          <w:bCs/>
          <w:lang w:val="ro-RO"/>
        </w:rPr>
        <w:t>pentru anii</w:t>
      </w:r>
      <w:r w:rsidR="001325FB" w:rsidRPr="00866277">
        <w:rPr>
          <w:bCs/>
          <w:i/>
          <w:lang w:val="ro-RO"/>
        </w:rPr>
        <w:t xml:space="preserve"> </w:t>
      </w:r>
      <w:r w:rsidR="00D451C0" w:rsidRPr="00866277">
        <w:rPr>
          <w:lang w:val="ro-RO"/>
        </w:rPr>
        <w:t xml:space="preserve">2013-2020, în vederea atingerii </w:t>
      </w:r>
      <w:r w:rsidR="00EF6AC9" w:rsidRPr="00866277">
        <w:rPr>
          <w:lang w:val="ro-RO"/>
        </w:rPr>
        <w:t>obiectivului general de</w:t>
      </w:r>
      <w:r w:rsidR="00EF6AC9" w:rsidRPr="00866277">
        <w:rPr>
          <w:b/>
          <w:lang w:val="ro-RO"/>
        </w:rPr>
        <w:t xml:space="preserve"> consolidare a capacităților decizionale </w:t>
      </w:r>
      <w:proofErr w:type="spellStart"/>
      <w:r w:rsidR="00EF6AC9" w:rsidRPr="00866277">
        <w:rPr>
          <w:b/>
          <w:lang w:val="ro-RO"/>
        </w:rPr>
        <w:t>şi</w:t>
      </w:r>
      <w:proofErr w:type="spellEnd"/>
      <w:r w:rsidR="00EF6AC9" w:rsidRPr="00866277">
        <w:rPr>
          <w:b/>
          <w:lang w:val="ro-RO"/>
        </w:rPr>
        <w:t xml:space="preserve"> de protecție a consumatorului</w:t>
      </w:r>
      <w:r w:rsidR="00EF6AC9" w:rsidRPr="00866277">
        <w:rPr>
          <w:lang w:val="ro-RO"/>
        </w:rPr>
        <w:t xml:space="preserve"> cu următoarele </w:t>
      </w:r>
      <w:r w:rsidR="00D451C0" w:rsidRPr="00866277">
        <w:rPr>
          <w:lang w:val="ro-RO"/>
        </w:rPr>
        <w:t xml:space="preserve">patru obiective </w:t>
      </w:r>
      <w:r w:rsidR="00472B57" w:rsidRPr="00866277">
        <w:rPr>
          <w:lang w:val="ro-RO"/>
        </w:rPr>
        <w:t>specifice</w:t>
      </w:r>
      <w:r w:rsidR="00D451C0" w:rsidRPr="00866277">
        <w:rPr>
          <w:lang w:val="ro-RO"/>
        </w:rPr>
        <w:t>, și anume:</w:t>
      </w:r>
    </w:p>
    <w:p w:rsidR="00D451C0" w:rsidRPr="00866277" w:rsidRDefault="00D451C0" w:rsidP="001325FB">
      <w:pPr>
        <w:ind w:firstLine="720"/>
        <w:jc w:val="both"/>
        <w:rPr>
          <w:lang w:val="ro-RO"/>
        </w:rPr>
      </w:pPr>
      <w:r w:rsidRPr="00866277">
        <w:rPr>
          <w:bCs/>
          <w:lang w:val="ro-RO"/>
        </w:rPr>
        <w:t xml:space="preserve">- Obiectivul </w:t>
      </w:r>
      <w:r w:rsidR="00472B57" w:rsidRPr="00866277">
        <w:rPr>
          <w:bCs/>
          <w:lang w:val="ro-RO"/>
        </w:rPr>
        <w:t xml:space="preserve">specific </w:t>
      </w:r>
      <w:r w:rsidRPr="00866277">
        <w:rPr>
          <w:bCs/>
          <w:lang w:val="ro-RO"/>
        </w:rPr>
        <w:t xml:space="preserve">1. Scăderea riscului de apariție a produselor </w:t>
      </w:r>
      <w:proofErr w:type="spellStart"/>
      <w:r w:rsidRPr="00866277">
        <w:rPr>
          <w:bCs/>
          <w:lang w:val="ro-RO"/>
        </w:rPr>
        <w:t>şi</w:t>
      </w:r>
      <w:proofErr w:type="spellEnd"/>
      <w:r w:rsidRPr="00866277">
        <w:rPr>
          <w:bCs/>
          <w:lang w:val="ro-RO"/>
        </w:rPr>
        <w:t xml:space="preserve"> serviciilor periculoase pe </w:t>
      </w:r>
      <w:r w:rsidR="008C7435" w:rsidRPr="00866277">
        <w:rPr>
          <w:bCs/>
          <w:lang w:val="ro-RO"/>
        </w:rPr>
        <w:t>piață</w:t>
      </w:r>
      <w:r w:rsidRPr="00866277">
        <w:rPr>
          <w:bCs/>
          <w:lang w:val="ro-RO"/>
        </w:rPr>
        <w:t>;</w:t>
      </w:r>
    </w:p>
    <w:p w:rsidR="00D451C0" w:rsidRPr="00866277" w:rsidRDefault="00D451C0" w:rsidP="001325FB">
      <w:pPr>
        <w:ind w:firstLine="720"/>
        <w:jc w:val="both"/>
        <w:rPr>
          <w:lang w:val="ro-RO"/>
        </w:rPr>
      </w:pPr>
      <w:r w:rsidRPr="00866277">
        <w:rPr>
          <w:bCs/>
          <w:lang w:val="ro-RO"/>
        </w:rPr>
        <w:t xml:space="preserve">- Obiectivul </w:t>
      </w:r>
      <w:r w:rsidR="00472B57" w:rsidRPr="00866277">
        <w:rPr>
          <w:bCs/>
          <w:lang w:val="ro-RO"/>
        </w:rPr>
        <w:t xml:space="preserve">specific </w:t>
      </w:r>
      <w:r w:rsidRPr="00866277">
        <w:rPr>
          <w:bCs/>
          <w:lang w:val="ro-RO"/>
        </w:rPr>
        <w:t>2. Scăderea nivelului tranzacțiilor prejudiciabile pentru consumatori;</w:t>
      </w:r>
    </w:p>
    <w:p w:rsidR="00D451C0" w:rsidRPr="00866277" w:rsidRDefault="00D451C0" w:rsidP="001325FB">
      <w:pPr>
        <w:ind w:firstLine="720"/>
        <w:jc w:val="both"/>
        <w:rPr>
          <w:lang w:val="ro-RO"/>
        </w:rPr>
      </w:pPr>
      <w:r w:rsidRPr="00866277">
        <w:rPr>
          <w:bCs/>
          <w:lang w:val="ro-RO"/>
        </w:rPr>
        <w:t xml:space="preserve">- Obiectivul </w:t>
      </w:r>
      <w:r w:rsidR="00472B57" w:rsidRPr="00866277">
        <w:rPr>
          <w:bCs/>
          <w:lang w:val="ro-RO"/>
        </w:rPr>
        <w:t xml:space="preserve">specific </w:t>
      </w:r>
      <w:r w:rsidRPr="00866277">
        <w:rPr>
          <w:bCs/>
          <w:lang w:val="ro-RO"/>
        </w:rPr>
        <w:t xml:space="preserve">3. Creșterea capacității decizionale a consumatorului prin educarea </w:t>
      </w:r>
      <w:proofErr w:type="spellStart"/>
      <w:r w:rsidRPr="00866277">
        <w:rPr>
          <w:bCs/>
          <w:lang w:val="ro-RO"/>
        </w:rPr>
        <w:t>şi</w:t>
      </w:r>
      <w:proofErr w:type="spellEnd"/>
      <w:r w:rsidRPr="00866277">
        <w:rPr>
          <w:bCs/>
          <w:lang w:val="ro-RO"/>
        </w:rPr>
        <w:t xml:space="preserve"> informarea acestuia;</w:t>
      </w:r>
    </w:p>
    <w:p w:rsidR="00D451C0" w:rsidRPr="00866277" w:rsidRDefault="00D451C0" w:rsidP="001325FB">
      <w:pPr>
        <w:ind w:firstLine="720"/>
        <w:jc w:val="both"/>
        <w:rPr>
          <w:bCs/>
          <w:lang w:val="ro-RO"/>
        </w:rPr>
      </w:pPr>
      <w:r w:rsidRPr="00866277">
        <w:rPr>
          <w:bCs/>
          <w:lang w:val="ro-RO"/>
        </w:rPr>
        <w:t xml:space="preserve">- Obiectivul </w:t>
      </w:r>
      <w:r w:rsidR="00472B57" w:rsidRPr="00866277">
        <w:rPr>
          <w:bCs/>
          <w:lang w:val="ro-RO"/>
        </w:rPr>
        <w:t xml:space="preserve">specific </w:t>
      </w:r>
      <w:r w:rsidRPr="00866277">
        <w:rPr>
          <w:bCs/>
          <w:lang w:val="ro-RO"/>
        </w:rPr>
        <w:t xml:space="preserve">4. Eficientizarea procesului de revendicare a drepturilor </w:t>
      </w:r>
      <w:proofErr w:type="spellStart"/>
      <w:r w:rsidRPr="00866277">
        <w:rPr>
          <w:bCs/>
          <w:lang w:val="ro-RO"/>
        </w:rPr>
        <w:t>şi</w:t>
      </w:r>
      <w:proofErr w:type="spellEnd"/>
      <w:r w:rsidRPr="00866277">
        <w:rPr>
          <w:bCs/>
          <w:lang w:val="ro-RO"/>
        </w:rPr>
        <w:t xml:space="preserve"> de recuperare a prejudiciilor.</w:t>
      </w:r>
    </w:p>
    <w:p w:rsidR="008E0F9B" w:rsidRPr="00B51CF8" w:rsidRDefault="008E0F9B" w:rsidP="008E0F9B">
      <w:pPr>
        <w:ind w:firstLine="576"/>
        <w:jc w:val="both"/>
        <w:rPr>
          <w:bCs/>
          <w:lang w:val="ro-RO"/>
        </w:rPr>
      </w:pPr>
      <w:r w:rsidRPr="00B51CF8">
        <w:rPr>
          <w:bCs/>
          <w:lang w:val="ro-RO"/>
        </w:rPr>
        <w:t xml:space="preserve">În vederea atingerii </w:t>
      </w:r>
      <w:r w:rsidR="005C2767" w:rsidRPr="00B51CF8">
        <w:rPr>
          <w:bCs/>
          <w:lang w:val="ro-RO"/>
        </w:rPr>
        <w:t>O</w:t>
      </w:r>
      <w:r w:rsidRPr="00B51CF8">
        <w:rPr>
          <w:bCs/>
          <w:lang w:val="ro-RO"/>
        </w:rPr>
        <w:t xml:space="preserve">biectivului </w:t>
      </w:r>
      <w:r w:rsidR="00472B57" w:rsidRPr="00B51CF8">
        <w:rPr>
          <w:bCs/>
          <w:lang w:val="ro-RO"/>
        </w:rPr>
        <w:t xml:space="preserve">specific </w:t>
      </w:r>
      <w:r w:rsidRPr="00B51CF8">
        <w:rPr>
          <w:bCs/>
          <w:lang w:val="ro-RO"/>
        </w:rPr>
        <w:t xml:space="preserve">1, în </w:t>
      </w:r>
      <w:r w:rsidR="0021796C" w:rsidRPr="00B51CF8">
        <w:rPr>
          <w:bCs/>
          <w:lang w:val="ro-RO"/>
        </w:rPr>
        <w:t>anul 2019</w:t>
      </w:r>
      <w:r w:rsidR="000553B7">
        <w:rPr>
          <w:bCs/>
          <w:lang w:val="ro-RO"/>
        </w:rPr>
        <w:t xml:space="preserve"> urmau a fi realizate</w:t>
      </w:r>
      <w:r w:rsidRPr="00B51CF8">
        <w:rPr>
          <w:bCs/>
          <w:lang w:val="ro-RO"/>
        </w:rPr>
        <w:t xml:space="preserve"> </w:t>
      </w:r>
      <w:r w:rsidR="006D6E73" w:rsidRPr="00B51CF8">
        <w:rPr>
          <w:bCs/>
          <w:lang w:val="ro-RO"/>
        </w:rPr>
        <w:t xml:space="preserve">19 </w:t>
      </w:r>
      <w:r w:rsidRPr="00B51CF8">
        <w:rPr>
          <w:bCs/>
          <w:lang w:val="ro-RO"/>
        </w:rPr>
        <w:t xml:space="preserve">acțiuni de </w:t>
      </w:r>
      <w:r w:rsidR="0091000C" w:rsidRPr="00B51CF8">
        <w:rPr>
          <w:bCs/>
          <w:lang w:val="ro-RO"/>
        </w:rPr>
        <w:t>către</w:t>
      </w:r>
      <w:r w:rsidRPr="00B51CF8">
        <w:rPr>
          <w:bCs/>
          <w:lang w:val="ro-RO"/>
        </w:rPr>
        <w:t xml:space="preserve">: MEI, MSMPS, MADRM, APCSP, ANSA, ANRCETI, </w:t>
      </w:r>
      <w:r w:rsidR="00BC06EB" w:rsidRPr="00B51CF8">
        <w:rPr>
          <w:bCs/>
          <w:lang w:val="ro-RO"/>
        </w:rPr>
        <w:t>AST,</w:t>
      </w:r>
      <w:r w:rsidRPr="00B51CF8">
        <w:rPr>
          <w:bCs/>
          <w:lang w:val="ro-RO"/>
        </w:rPr>
        <w:t xml:space="preserve"> IPM, </w:t>
      </w:r>
      <w:r w:rsidR="00BC06EB" w:rsidRPr="00B51CF8">
        <w:rPr>
          <w:bCs/>
          <w:lang w:val="ro-RO"/>
        </w:rPr>
        <w:t xml:space="preserve">SV, </w:t>
      </w:r>
      <w:r w:rsidRPr="00B51CF8">
        <w:rPr>
          <w:bCs/>
          <w:lang w:val="ro-RO"/>
        </w:rPr>
        <w:t>ș.a. Acțiunile urmau a fi finanțate din bugetul de stat și asistență tehnică externă.</w:t>
      </w:r>
    </w:p>
    <w:p w:rsidR="008E0F9B" w:rsidRPr="00B51CF8" w:rsidRDefault="008E0F9B" w:rsidP="008E0F9B">
      <w:pPr>
        <w:ind w:firstLine="576"/>
        <w:jc w:val="both"/>
        <w:rPr>
          <w:bCs/>
          <w:lang w:val="ro-RO"/>
        </w:rPr>
      </w:pPr>
      <w:r w:rsidRPr="00B51CF8">
        <w:rPr>
          <w:bCs/>
          <w:lang w:val="ro-RO"/>
        </w:rPr>
        <w:t xml:space="preserve">În vederea atingerii </w:t>
      </w:r>
      <w:r w:rsidR="00787CDE" w:rsidRPr="00B51CF8">
        <w:rPr>
          <w:bCs/>
          <w:lang w:val="ro-RO"/>
        </w:rPr>
        <w:t>O</w:t>
      </w:r>
      <w:r w:rsidRPr="00B51CF8">
        <w:rPr>
          <w:bCs/>
          <w:lang w:val="ro-RO"/>
        </w:rPr>
        <w:t xml:space="preserve">biectivului </w:t>
      </w:r>
      <w:r w:rsidR="00787CDE" w:rsidRPr="00B51CF8">
        <w:rPr>
          <w:bCs/>
          <w:lang w:val="ro-RO"/>
        </w:rPr>
        <w:t xml:space="preserve">specific </w:t>
      </w:r>
      <w:r w:rsidRPr="00B51CF8">
        <w:rPr>
          <w:bCs/>
          <w:lang w:val="ro-RO"/>
        </w:rPr>
        <w:t>2, pentru anul 201</w:t>
      </w:r>
      <w:r w:rsidR="006D6E73" w:rsidRPr="00B51CF8">
        <w:rPr>
          <w:bCs/>
          <w:lang w:val="ro-RO"/>
        </w:rPr>
        <w:t>9</w:t>
      </w:r>
      <w:r w:rsidRPr="00B51CF8">
        <w:rPr>
          <w:bCs/>
          <w:lang w:val="ro-RO"/>
        </w:rPr>
        <w:t xml:space="preserve"> au fost prevăzute </w:t>
      </w:r>
      <w:r w:rsidR="008854A2">
        <w:rPr>
          <w:bCs/>
          <w:lang w:val="ro-RO"/>
        </w:rPr>
        <w:t>6</w:t>
      </w:r>
      <w:r w:rsidR="006D6E73" w:rsidRPr="00B51CF8">
        <w:rPr>
          <w:bCs/>
          <w:lang w:val="ro-RO"/>
        </w:rPr>
        <w:t xml:space="preserve"> </w:t>
      </w:r>
      <w:r w:rsidRPr="00B51CF8">
        <w:rPr>
          <w:bCs/>
          <w:lang w:val="ro-RO"/>
        </w:rPr>
        <w:t xml:space="preserve">acțiuni ce urmau a fi realizate în limitele bugetului aprobat de către: </w:t>
      </w:r>
      <w:r w:rsidR="00BC06EB" w:rsidRPr="00B51CF8">
        <w:rPr>
          <w:bCs/>
          <w:lang w:val="ro-RO"/>
        </w:rPr>
        <w:t xml:space="preserve">MEI, </w:t>
      </w:r>
      <w:r w:rsidRPr="00B51CF8">
        <w:rPr>
          <w:bCs/>
          <w:lang w:val="ro-RO"/>
        </w:rPr>
        <w:t xml:space="preserve">APCSP, BNM, CNPF, ANRE, ANRCETI, AST, </w:t>
      </w:r>
      <w:r w:rsidR="00BC06EB" w:rsidRPr="00B51CF8">
        <w:rPr>
          <w:bCs/>
          <w:lang w:val="ro-RO"/>
        </w:rPr>
        <w:t xml:space="preserve">IPM, </w:t>
      </w:r>
      <w:r w:rsidRPr="00B51CF8">
        <w:rPr>
          <w:bCs/>
          <w:lang w:val="ro-RO"/>
        </w:rPr>
        <w:t>ș.a.</w:t>
      </w:r>
    </w:p>
    <w:p w:rsidR="00BC06EB" w:rsidRPr="00B51CF8" w:rsidRDefault="00BC06EB" w:rsidP="00BC06EB">
      <w:pPr>
        <w:ind w:firstLine="576"/>
        <w:jc w:val="both"/>
        <w:rPr>
          <w:bCs/>
          <w:lang w:val="ro-RO"/>
        </w:rPr>
      </w:pPr>
      <w:r w:rsidRPr="00B51CF8">
        <w:rPr>
          <w:bCs/>
          <w:lang w:val="ro-RO"/>
        </w:rPr>
        <w:t xml:space="preserve">Întru realizarea </w:t>
      </w:r>
      <w:r w:rsidR="00787CDE" w:rsidRPr="00B51CF8">
        <w:rPr>
          <w:bCs/>
          <w:lang w:val="ro-RO"/>
        </w:rPr>
        <w:t>Obiectivului specific</w:t>
      </w:r>
      <w:r w:rsidRPr="00B51CF8">
        <w:rPr>
          <w:bCs/>
          <w:lang w:val="ro-RO"/>
        </w:rPr>
        <w:t xml:space="preserve"> 3</w:t>
      </w:r>
      <w:r w:rsidR="00787CDE" w:rsidRPr="00B51CF8">
        <w:rPr>
          <w:bCs/>
          <w:lang w:val="ro-RO"/>
        </w:rPr>
        <w:t>,</w:t>
      </w:r>
      <w:r w:rsidR="006D6E73" w:rsidRPr="00B51CF8">
        <w:rPr>
          <w:bCs/>
          <w:lang w:val="ro-RO"/>
        </w:rPr>
        <w:t xml:space="preserve"> pentru anul 2019</w:t>
      </w:r>
      <w:r w:rsidRPr="00B51CF8">
        <w:rPr>
          <w:bCs/>
          <w:lang w:val="ro-RO"/>
        </w:rPr>
        <w:t xml:space="preserve"> au fost prevăzute 1</w:t>
      </w:r>
      <w:r w:rsidR="006D6E73" w:rsidRPr="00B51CF8">
        <w:rPr>
          <w:bCs/>
          <w:lang w:val="ro-RO"/>
        </w:rPr>
        <w:t>0</w:t>
      </w:r>
      <w:r w:rsidRPr="00B51CF8">
        <w:rPr>
          <w:bCs/>
          <w:lang w:val="ro-RO"/>
        </w:rPr>
        <w:t xml:space="preserve"> acțiuni ce urmau a fi executate de către: MEI, MECC, </w:t>
      </w:r>
      <w:r w:rsidR="00BF465F" w:rsidRPr="00B51CF8">
        <w:rPr>
          <w:bCs/>
          <w:lang w:val="ro-RO"/>
        </w:rPr>
        <w:t>MADRM,</w:t>
      </w:r>
      <w:r w:rsidR="00472B57" w:rsidRPr="00B51CF8">
        <w:rPr>
          <w:bCs/>
          <w:lang w:val="ro-RO"/>
        </w:rPr>
        <w:t xml:space="preserve"> MSMPS,</w:t>
      </w:r>
      <w:r w:rsidR="00BF465F" w:rsidRPr="00B51CF8">
        <w:rPr>
          <w:bCs/>
          <w:lang w:val="ro-RO"/>
        </w:rPr>
        <w:t xml:space="preserve"> </w:t>
      </w:r>
      <w:r w:rsidRPr="00B51CF8">
        <w:rPr>
          <w:bCs/>
          <w:lang w:val="ro-RO"/>
        </w:rPr>
        <w:t xml:space="preserve">APCSP, BNM, </w:t>
      </w:r>
      <w:r w:rsidR="00EA70CE" w:rsidRPr="00B51CF8">
        <w:rPr>
          <w:bCs/>
          <w:lang w:val="ro-RO"/>
        </w:rPr>
        <w:t xml:space="preserve">AAC, </w:t>
      </w:r>
      <w:r w:rsidRPr="00B51CF8">
        <w:rPr>
          <w:bCs/>
          <w:lang w:val="ro-RO"/>
        </w:rPr>
        <w:t>CNPF, ANRE, ANRCETI, ANSA,</w:t>
      </w:r>
      <w:r w:rsidR="00BF465F" w:rsidRPr="00B51CF8">
        <w:rPr>
          <w:bCs/>
          <w:lang w:val="ro-RO"/>
        </w:rPr>
        <w:t xml:space="preserve"> IPM, </w:t>
      </w:r>
      <w:r w:rsidRPr="00B51CF8">
        <w:rPr>
          <w:bCs/>
          <w:lang w:val="ro-RO"/>
        </w:rPr>
        <w:t>ș.a. Acțiunile urmau a fi finanțate din bugetul de stat ș</w:t>
      </w:r>
      <w:r w:rsidR="0026036C" w:rsidRPr="00B51CF8">
        <w:rPr>
          <w:bCs/>
          <w:lang w:val="ro-RO"/>
        </w:rPr>
        <w:t>i</w:t>
      </w:r>
      <w:r w:rsidRPr="00B51CF8">
        <w:rPr>
          <w:bCs/>
          <w:lang w:val="ro-RO"/>
        </w:rPr>
        <w:t xml:space="preserve"> asistență tehnică externă. </w:t>
      </w:r>
    </w:p>
    <w:p w:rsidR="00BF465F" w:rsidRPr="00B51CF8" w:rsidRDefault="00BF465F" w:rsidP="00BF465F">
      <w:pPr>
        <w:ind w:firstLine="576"/>
        <w:jc w:val="both"/>
        <w:rPr>
          <w:bCs/>
          <w:lang w:val="ro-RO"/>
        </w:rPr>
      </w:pPr>
      <w:r w:rsidRPr="00B51CF8">
        <w:rPr>
          <w:bCs/>
          <w:lang w:val="ro-RO"/>
        </w:rPr>
        <w:t xml:space="preserve">Pentru realizarea </w:t>
      </w:r>
      <w:r w:rsidR="00787CDE" w:rsidRPr="00B51CF8">
        <w:rPr>
          <w:bCs/>
          <w:lang w:val="ro-RO"/>
        </w:rPr>
        <w:t>Obiectivului specific</w:t>
      </w:r>
      <w:r w:rsidRPr="00B51CF8">
        <w:rPr>
          <w:bCs/>
          <w:lang w:val="ro-RO"/>
        </w:rPr>
        <w:t xml:space="preserve"> 4</w:t>
      </w:r>
      <w:r w:rsidR="00DD0859" w:rsidRPr="00B51CF8">
        <w:rPr>
          <w:bCs/>
          <w:lang w:val="ro-RO"/>
        </w:rPr>
        <w:t>,</w:t>
      </w:r>
      <w:r w:rsidRPr="00B51CF8">
        <w:rPr>
          <w:bCs/>
          <w:lang w:val="ro-RO"/>
        </w:rPr>
        <w:t xml:space="preserve"> au fost prevăzute </w:t>
      </w:r>
      <w:r w:rsidR="006D6E73" w:rsidRPr="00B51CF8">
        <w:rPr>
          <w:bCs/>
          <w:lang w:val="ro-RO"/>
        </w:rPr>
        <w:t>3</w:t>
      </w:r>
      <w:r w:rsidRPr="00B51CF8">
        <w:rPr>
          <w:bCs/>
          <w:lang w:val="ro-RO"/>
        </w:rPr>
        <w:t xml:space="preserve"> acțiuni spre realizare în limita bugetului aprobat și cu suportul partenerilor de dezvoltare. Acțiunile urmau a fi executate de către MJ, MEI, MSMPS, MADRM, BNM, APCSP</w:t>
      </w:r>
      <w:r w:rsidR="0026036C" w:rsidRPr="00B51CF8">
        <w:rPr>
          <w:bCs/>
          <w:lang w:val="ro-RO"/>
        </w:rPr>
        <w:t xml:space="preserve"> ANSA, AST, </w:t>
      </w:r>
      <w:r w:rsidRPr="00B51CF8">
        <w:rPr>
          <w:bCs/>
          <w:lang w:val="ro-RO"/>
        </w:rPr>
        <w:t>ANRCETI, CNPF, IPM.</w:t>
      </w:r>
    </w:p>
    <w:p w:rsidR="0065583F" w:rsidRPr="00B51CF8" w:rsidRDefault="0065583F" w:rsidP="00D21B0A">
      <w:pPr>
        <w:widowControl w:val="0"/>
        <w:autoSpaceDE w:val="0"/>
        <w:autoSpaceDN w:val="0"/>
        <w:adjustRightInd w:val="0"/>
        <w:ind w:firstLine="576"/>
        <w:jc w:val="both"/>
        <w:rPr>
          <w:lang w:val="ro-RO"/>
        </w:rPr>
      </w:pPr>
    </w:p>
    <w:p w:rsidR="0065583F" w:rsidRPr="00866277" w:rsidRDefault="0065583F" w:rsidP="00D21B0A">
      <w:pPr>
        <w:widowControl w:val="0"/>
        <w:autoSpaceDE w:val="0"/>
        <w:autoSpaceDN w:val="0"/>
        <w:adjustRightInd w:val="0"/>
        <w:ind w:firstLine="576"/>
        <w:jc w:val="both"/>
        <w:rPr>
          <w:lang w:val="ro-RO"/>
        </w:rPr>
      </w:pPr>
      <w:r w:rsidRPr="00B51CF8">
        <w:rPr>
          <w:lang w:val="ro-RO"/>
        </w:rPr>
        <w:t>Totalul acțiunilor spre realizare</w:t>
      </w:r>
      <w:r w:rsidR="00851A96" w:rsidRPr="00B51CF8">
        <w:rPr>
          <w:bCs/>
          <w:lang w:val="ro-RO"/>
        </w:rPr>
        <w:t xml:space="preserve"> pentru anul 2019</w:t>
      </w:r>
      <w:r w:rsidR="005C2767" w:rsidRPr="00B51CF8">
        <w:rPr>
          <w:bCs/>
          <w:lang w:val="ro-RO"/>
        </w:rPr>
        <w:t xml:space="preserve"> </w:t>
      </w:r>
      <w:r w:rsidR="005C2767" w:rsidRPr="00B51CF8">
        <w:rPr>
          <w:lang w:val="ro-RO"/>
        </w:rPr>
        <w:t xml:space="preserve">constituie </w:t>
      </w:r>
      <w:r w:rsidR="00851A96" w:rsidRPr="00B51CF8">
        <w:rPr>
          <w:lang w:val="ro-RO"/>
        </w:rPr>
        <w:t>3</w:t>
      </w:r>
      <w:r w:rsidR="008854A2">
        <w:rPr>
          <w:lang w:val="ro-RO"/>
        </w:rPr>
        <w:t>8</w:t>
      </w:r>
      <w:r w:rsidRPr="00B51CF8">
        <w:rPr>
          <w:lang w:val="ro-RO"/>
        </w:rPr>
        <w:t xml:space="preserve"> de acțiuni</w:t>
      </w:r>
      <w:r w:rsidR="00851A96" w:rsidRPr="00B51CF8">
        <w:rPr>
          <w:lang w:val="ro-RO"/>
        </w:rPr>
        <w:t xml:space="preserve"> + 2 acțiuni cu referire la cooperarea internațională</w:t>
      </w:r>
      <w:r w:rsidRPr="00B51CF8">
        <w:rPr>
          <w:lang w:val="ro-RO"/>
        </w:rPr>
        <w:t>.</w:t>
      </w:r>
    </w:p>
    <w:p w:rsidR="0065583F" w:rsidRPr="00866277" w:rsidRDefault="0065583F" w:rsidP="00D21B0A">
      <w:pPr>
        <w:rPr>
          <w:lang w:val="ro-RO"/>
        </w:rPr>
      </w:pPr>
    </w:p>
    <w:p w:rsidR="0065583F" w:rsidRPr="00866277" w:rsidRDefault="0065583F" w:rsidP="00D21B0A">
      <w:pPr>
        <w:rPr>
          <w:lang w:val="ro-RO"/>
        </w:rPr>
      </w:pPr>
    </w:p>
    <w:p w:rsidR="0065583F" w:rsidRPr="00866277" w:rsidRDefault="0065583F" w:rsidP="00D21B0A">
      <w:pPr>
        <w:rPr>
          <w:lang w:val="ro-RO"/>
        </w:rPr>
      </w:pPr>
    </w:p>
    <w:p w:rsidR="0065583F" w:rsidRPr="00866277" w:rsidRDefault="0065583F" w:rsidP="00D21B0A">
      <w:pPr>
        <w:rPr>
          <w:lang w:val="ro-RO"/>
        </w:rPr>
      </w:pPr>
    </w:p>
    <w:p w:rsidR="0065583F" w:rsidRPr="00866277" w:rsidRDefault="0065583F" w:rsidP="00D21B0A">
      <w:pPr>
        <w:rPr>
          <w:lang w:val="ro-RO"/>
        </w:rPr>
      </w:pPr>
    </w:p>
    <w:p w:rsidR="0065583F" w:rsidRPr="00866277" w:rsidRDefault="0065583F" w:rsidP="00D21B0A">
      <w:pPr>
        <w:rPr>
          <w:lang w:val="ro-RO"/>
        </w:rPr>
      </w:pPr>
    </w:p>
    <w:p w:rsidR="0065583F" w:rsidRPr="00866277" w:rsidRDefault="0065583F" w:rsidP="00D21B0A">
      <w:pPr>
        <w:rPr>
          <w:lang w:val="ro-RO"/>
        </w:rPr>
      </w:pPr>
    </w:p>
    <w:p w:rsidR="0065583F" w:rsidRPr="00866277" w:rsidRDefault="0065583F" w:rsidP="00D21B0A">
      <w:pPr>
        <w:rPr>
          <w:lang w:val="ro-RO"/>
        </w:rPr>
      </w:pPr>
    </w:p>
    <w:p w:rsidR="0065583F" w:rsidRPr="00866277" w:rsidRDefault="0065583F" w:rsidP="00D21B0A">
      <w:pPr>
        <w:rPr>
          <w:lang w:val="ro-RO"/>
        </w:rPr>
      </w:pPr>
    </w:p>
    <w:p w:rsidR="0065583F" w:rsidRPr="00866277" w:rsidRDefault="0065583F" w:rsidP="00D21B0A">
      <w:pPr>
        <w:rPr>
          <w:lang w:val="ro-RO"/>
        </w:rPr>
      </w:pPr>
    </w:p>
    <w:p w:rsidR="0065583F" w:rsidRDefault="0065583F" w:rsidP="00D21B0A">
      <w:pPr>
        <w:rPr>
          <w:lang w:val="ro-RO"/>
        </w:rPr>
      </w:pPr>
    </w:p>
    <w:p w:rsidR="00E65C65" w:rsidRDefault="00E65C65" w:rsidP="00D21B0A">
      <w:pPr>
        <w:rPr>
          <w:lang w:val="ro-RO"/>
        </w:rPr>
      </w:pPr>
    </w:p>
    <w:p w:rsidR="00E65C65" w:rsidRPr="00866277" w:rsidRDefault="00E65C65" w:rsidP="00D21B0A">
      <w:pPr>
        <w:rPr>
          <w:lang w:val="ro-RO"/>
        </w:rPr>
      </w:pPr>
    </w:p>
    <w:p w:rsidR="0065583F" w:rsidRPr="00866277" w:rsidRDefault="0065583F" w:rsidP="00D21B0A">
      <w:pPr>
        <w:rPr>
          <w:lang w:val="ro-RO"/>
        </w:rPr>
      </w:pPr>
    </w:p>
    <w:p w:rsidR="0065583F" w:rsidRPr="00866277" w:rsidRDefault="0065583F" w:rsidP="00D21B0A">
      <w:pPr>
        <w:rPr>
          <w:lang w:val="ro-RO"/>
        </w:rPr>
      </w:pPr>
    </w:p>
    <w:p w:rsidR="0065583F" w:rsidRPr="00866277" w:rsidRDefault="0065583F" w:rsidP="00D21B0A">
      <w:pPr>
        <w:ind w:firstLine="720"/>
        <w:jc w:val="center"/>
        <w:rPr>
          <w:b/>
          <w:bCs/>
          <w:sz w:val="25"/>
          <w:szCs w:val="25"/>
          <w:lang w:val="ro-RO"/>
        </w:rPr>
      </w:pPr>
      <w:r w:rsidRPr="00866277">
        <w:rPr>
          <w:b/>
          <w:sz w:val="25"/>
          <w:szCs w:val="25"/>
          <w:lang w:val="ro-RO"/>
        </w:rPr>
        <w:lastRenderedPageBreak/>
        <w:t xml:space="preserve">I. </w:t>
      </w:r>
      <w:r w:rsidRPr="00866277">
        <w:rPr>
          <w:b/>
          <w:bCs/>
          <w:sz w:val="25"/>
          <w:szCs w:val="25"/>
          <w:lang w:val="ro-RO"/>
        </w:rPr>
        <w:t>SCĂDEREA RISCULUI DE APARIŢIE A PRODUSELOR ŞI</w:t>
      </w:r>
    </w:p>
    <w:p w:rsidR="0065583F" w:rsidRPr="00866277" w:rsidRDefault="0065583F" w:rsidP="00D21B0A">
      <w:pPr>
        <w:spacing w:after="80"/>
        <w:ind w:firstLine="576"/>
        <w:jc w:val="center"/>
        <w:rPr>
          <w:b/>
          <w:sz w:val="25"/>
          <w:szCs w:val="25"/>
          <w:lang w:val="ro-RO"/>
        </w:rPr>
      </w:pPr>
      <w:r w:rsidRPr="00866277">
        <w:rPr>
          <w:b/>
          <w:bCs/>
          <w:sz w:val="25"/>
          <w:szCs w:val="25"/>
          <w:lang w:val="ro-RO"/>
        </w:rPr>
        <w:t>SERVICIILOR PERICULOASE PE PIAŢĂ</w:t>
      </w:r>
    </w:p>
    <w:p w:rsidR="0065583F" w:rsidRPr="00866277" w:rsidRDefault="0065583F" w:rsidP="00D21B0A">
      <w:pPr>
        <w:spacing w:after="80"/>
        <w:ind w:firstLine="720"/>
        <w:jc w:val="both"/>
        <w:rPr>
          <w:lang w:val="ro-RO"/>
        </w:rPr>
      </w:pPr>
      <w:r w:rsidRPr="00866277">
        <w:rPr>
          <w:lang w:val="ro-RO"/>
        </w:rPr>
        <w:t xml:space="preserve">Pornind de la primul obiectiv de implementare a Strategiei, constatăm că pentru atingerea acestuia au fost propuse </w:t>
      </w:r>
      <w:r w:rsidR="00FB68D6" w:rsidRPr="00866277">
        <w:rPr>
          <w:lang w:val="ro-RO"/>
        </w:rPr>
        <w:t>pentru perioada anului 201</w:t>
      </w:r>
      <w:r w:rsidR="00883C2F" w:rsidRPr="00866277">
        <w:rPr>
          <w:lang w:val="ro-RO"/>
        </w:rPr>
        <w:t>9</w:t>
      </w:r>
      <w:r w:rsidR="00FB68D6" w:rsidRPr="00866277">
        <w:rPr>
          <w:lang w:val="ro-RO"/>
        </w:rPr>
        <w:t xml:space="preserve"> următoarele măsuri de implementare care sunt divizate pe acțiuni concrete</w:t>
      </w:r>
      <w:r w:rsidR="00883C2F" w:rsidRPr="00866277">
        <w:rPr>
          <w:lang w:val="ro-RO"/>
        </w:rPr>
        <w:t>.</w:t>
      </w:r>
    </w:p>
    <w:p w:rsidR="0065583F" w:rsidRDefault="0065583F" w:rsidP="00D21B0A">
      <w:pPr>
        <w:spacing w:after="80"/>
        <w:ind w:firstLine="720"/>
        <w:jc w:val="both"/>
        <w:rPr>
          <w:rFonts w:eastAsia="Times New Roman"/>
          <w:b/>
          <w:bCs/>
          <w:lang w:val="ro-RO"/>
        </w:rPr>
      </w:pPr>
      <w:r w:rsidRPr="00866277">
        <w:rPr>
          <w:rFonts w:eastAsia="Times New Roman"/>
          <w:b/>
          <w:bCs/>
          <w:lang w:val="ro-RO"/>
        </w:rPr>
        <w:t xml:space="preserve">1.1. Asigurarea </w:t>
      </w:r>
      <w:r w:rsidR="00FB68D6" w:rsidRPr="00866277">
        <w:rPr>
          <w:rFonts w:eastAsia="Times New Roman"/>
          <w:b/>
          <w:bCs/>
          <w:lang w:val="ro-RO"/>
        </w:rPr>
        <w:t>inofensivității</w:t>
      </w:r>
      <w:r w:rsidRPr="00866277">
        <w:rPr>
          <w:rFonts w:eastAsia="Times New Roman"/>
          <w:b/>
          <w:bCs/>
          <w:lang w:val="ro-RO"/>
        </w:rPr>
        <w:t xml:space="preserve"> produselor </w:t>
      </w:r>
      <w:r w:rsidR="00FB68D6" w:rsidRPr="00866277">
        <w:rPr>
          <w:rFonts w:eastAsia="Times New Roman"/>
          <w:b/>
          <w:bCs/>
          <w:lang w:val="ro-RO"/>
        </w:rPr>
        <w:t>și</w:t>
      </w:r>
      <w:r w:rsidRPr="00866277">
        <w:rPr>
          <w:rFonts w:eastAsia="Times New Roman"/>
          <w:b/>
          <w:bCs/>
          <w:lang w:val="ro-RO"/>
        </w:rPr>
        <w:t xml:space="preserve"> serviciilor prin stabilirea </w:t>
      </w:r>
      <w:r w:rsidR="00FB68D6" w:rsidRPr="00866277">
        <w:rPr>
          <w:rFonts w:eastAsia="Times New Roman"/>
          <w:b/>
          <w:bCs/>
          <w:lang w:val="ro-RO"/>
        </w:rPr>
        <w:t>cerințelor</w:t>
      </w:r>
      <w:r w:rsidRPr="00866277">
        <w:rPr>
          <w:rFonts w:eastAsia="Times New Roman"/>
          <w:b/>
          <w:bCs/>
          <w:lang w:val="ro-RO"/>
        </w:rPr>
        <w:t xml:space="preserve"> minime de inofensivitate </w:t>
      </w:r>
      <w:r w:rsidR="00FB68D6" w:rsidRPr="00866277">
        <w:rPr>
          <w:rFonts w:eastAsia="Times New Roman"/>
          <w:b/>
          <w:bCs/>
          <w:lang w:val="ro-RO"/>
        </w:rPr>
        <w:t>și</w:t>
      </w:r>
      <w:r w:rsidRPr="00866277">
        <w:rPr>
          <w:rFonts w:eastAsia="Times New Roman"/>
          <w:b/>
          <w:bCs/>
          <w:lang w:val="ro-RO"/>
        </w:rPr>
        <w:t xml:space="preserve"> calitate pentru produse </w:t>
      </w:r>
      <w:proofErr w:type="spellStart"/>
      <w:r w:rsidRPr="00866277">
        <w:rPr>
          <w:rFonts w:eastAsia="Times New Roman"/>
          <w:b/>
          <w:bCs/>
          <w:lang w:val="ro-RO"/>
        </w:rPr>
        <w:t>şi</w:t>
      </w:r>
      <w:proofErr w:type="spellEnd"/>
      <w:r w:rsidRPr="00866277">
        <w:rPr>
          <w:rFonts w:eastAsia="Times New Roman"/>
          <w:b/>
          <w:bCs/>
          <w:lang w:val="ro-RO"/>
        </w:rPr>
        <w:t xml:space="preserve"> servicii</w:t>
      </w:r>
    </w:p>
    <w:p w:rsidR="00DD0859" w:rsidRPr="00DD0859" w:rsidRDefault="00DD0859" w:rsidP="008E2773">
      <w:pPr>
        <w:ind w:firstLine="720"/>
        <w:jc w:val="both"/>
        <w:rPr>
          <w:rFonts w:eastAsia="Times New Roman"/>
          <w:bCs/>
          <w:lang w:val="ro-RO"/>
        </w:rPr>
      </w:pPr>
      <w:r>
        <w:rPr>
          <w:rFonts w:eastAsia="Times New Roman"/>
          <w:bCs/>
          <w:lang w:val="ro-RO"/>
        </w:rPr>
        <w:t xml:space="preserve">Măsurile </w:t>
      </w:r>
      <w:r w:rsidRPr="00DD0859">
        <w:rPr>
          <w:rFonts w:eastAsia="Times New Roman"/>
          <w:bCs/>
          <w:lang w:val="ro-RO"/>
        </w:rPr>
        <w:t xml:space="preserve">stabilite spre realizare în anul 2019 în partea ce ține de stabilirea cerințelor minime de inofensivitate și calitate pentru produse </w:t>
      </w:r>
      <w:proofErr w:type="spellStart"/>
      <w:r w:rsidRPr="00DD0859">
        <w:rPr>
          <w:rFonts w:eastAsia="Times New Roman"/>
          <w:bCs/>
          <w:lang w:val="ro-RO"/>
        </w:rPr>
        <w:t>şi</w:t>
      </w:r>
      <w:proofErr w:type="spellEnd"/>
      <w:r w:rsidRPr="00DD0859">
        <w:rPr>
          <w:rFonts w:eastAsia="Times New Roman"/>
          <w:bCs/>
          <w:lang w:val="ro-RO"/>
        </w:rPr>
        <w:t xml:space="preserve"> servicii</w:t>
      </w:r>
      <w:r>
        <w:rPr>
          <w:rFonts w:eastAsia="Times New Roman"/>
          <w:bCs/>
          <w:lang w:val="ro-RO"/>
        </w:rPr>
        <w:t xml:space="preserve"> vizează în principal Ministerul Agriculturii, Dezvoltării Regionale și Mediului, care și-a propus unele acțiuni de dezvoltare a cadrului normativ în domeniu. </w:t>
      </w:r>
      <w:r w:rsidR="008E2773">
        <w:rPr>
          <w:rFonts w:eastAsia="Times New Roman"/>
          <w:bCs/>
          <w:lang w:val="ro-RO"/>
        </w:rPr>
        <w:t>Astfel, relevăm următoarele.</w:t>
      </w:r>
    </w:p>
    <w:p w:rsidR="00BE11CE" w:rsidRPr="00BE11CE" w:rsidRDefault="00BE11CE" w:rsidP="008E2773">
      <w:pPr>
        <w:ind w:firstLine="720"/>
        <w:jc w:val="both"/>
        <w:rPr>
          <w:lang w:val="ro-RO"/>
        </w:rPr>
      </w:pPr>
      <w:r w:rsidRPr="00BE11CE">
        <w:rPr>
          <w:lang w:val="ro-RO"/>
        </w:rPr>
        <w:t xml:space="preserve">În vederea realizării acțiunii de </w:t>
      </w:r>
      <w:r w:rsidRPr="00BE11CE">
        <w:rPr>
          <w:i/>
          <w:lang w:val="ro-RO"/>
        </w:rPr>
        <w:t xml:space="preserve">elaborare a proiectului </w:t>
      </w:r>
      <w:proofErr w:type="spellStart"/>
      <w:r w:rsidRPr="00BE11CE">
        <w:rPr>
          <w:i/>
          <w:lang w:val="ro-RO"/>
        </w:rPr>
        <w:t>hotărîrii</w:t>
      </w:r>
      <w:proofErr w:type="spellEnd"/>
      <w:r w:rsidRPr="00BE11CE">
        <w:rPr>
          <w:i/>
          <w:lang w:val="ro-RO"/>
        </w:rPr>
        <w:t xml:space="preserve"> de Guvern privind cerințele în materie de trasabilitate a alimentelor de origine animală</w:t>
      </w:r>
      <w:r w:rsidRPr="00BE11CE">
        <w:rPr>
          <w:lang w:val="ro-RO"/>
        </w:rPr>
        <w:t xml:space="preserve"> (</w:t>
      </w:r>
      <w:r w:rsidRPr="00BE11CE">
        <w:rPr>
          <w:b/>
          <w:lang w:val="ro-RO"/>
        </w:rPr>
        <w:t>pct.1.1.5.)</w:t>
      </w:r>
      <w:r w:rsidRPr="00BE11CE">
        <w:rPr>
          <w:lang w:val="ro-RO"/>
        </w:rPr>
        <w:t xml:space="preserve">, în anul 2018 </w:t>
      </w:r>
      <w:r>
        <w:rPr>
          <w:lang w:val="ro-RO"/>
        </w:rPr>
        <w:t xml:space="preserve">fost aprobată Legea nr.306 din 30 noiembrie </w:t>
      </w:r>
      <w:r w:rsidRPr="00BE11CE">
        <w:rPr>
          <w:lang w:val="ro-RO"/>
        </w:rPr>
        <w:t>2018 privind siguranța alimentelor care la rândul său transpune Regulamentul de punere în aplicare (UE) nr. 931/2011 al Comisiei Europene din 19 septembrie 2011 privind cerințele în materie de trasabilitate a alimentelor de origine animală stabilite în Regulamentul (CE) nr. 178/2002 al Parlamentului European și al Consiliului UE.</w:t>
      </w:r>
    </w:p>
    <w:p w:rsidR="00883C2F" w:rsidRPr="00866277" w:rsidRDefault="00926780" w:rsidP="008E2773">
      <w:pPr>
        <w:ind w:firstLine="720"/>
        <w:jc w:val="both"/>
        <w:rPr>
          <w:lang w:val="ro-RO"/>
        </w:rPr>
      </w:pPr>
      <w:r w:rsidRPr="00926780">
        <w:rPr>
          <w:lang w:val="ro-RO"/>
        </w:rPr>
        <w:t xml:space="preserve">Cu privire la realizarea acțiunii 1.1.12. </w:t>
      </w:r>
      <w:r w:rsidR="00103908">
        <w:rPr>
          <w:lang w:val="ro-RO"/>
        </w:rPr>
        <w:t>priv</w:t>
      </w:r>
      <w:r w:rsidRPr="00926780">
        <w:rPr>
          <w:lang w:val="ro-RO"/>
        </w:rPr>
        <w:t>ind e</w:t>
      </w:r>
      <w:r w:rsidR="00883C2F" w:rsidRPr="00926780">
        <w:rPr>
          <w:lang w:val="ro-RO"/>
        </w:rPr>
        <w:t xml:space="preserve">laborarea proiectului </w:t>
      </w:r>
      <w:proofErr w:type="spellStart"/>
      <w:r w:rsidR="00883C2F" w:rsidRPr="00926780">
        <w:rPr>
          <w:lang w:val="ro-RO"/>
        </w:rPr>
        <w:t>hotărîrii</w:t>
      </w:r>
      <w:proofErr w:type="spellEnd"/>
      <w:r w:rsidR="00883C2F" w:rsidRPr="00926780">
        <w:rPr>
          <w:lang w:val="ro-RO"/>
        </w:rPr>
        <w:t xml:space="preserve"> de Guvern pentru transpunerea Directivei 2009/128/CE a Parlamentului European și a Consiliului din 21 octombrie 2009 de stabilire a unui cadru de acțiune comunitară în vederea utilizării durabile a </w:t>
      </w:r>
      <w:r w:rsidRPr="00926780">
        <w:rPr>
          <w:lang w:val="ro-RO"/>
        </w:rPr>
        <w:t>pesticidelor,</w:t>
      </w:r>
      <w:r>
        <w:rPr>
          <w:lang w:val="ro-RO"/>
        </w:rPr>
        <w:t xml:space="preserve"> p</w:t>
      </w:r>
      <w:r w:rsidRPr="00995F15">
        <w:rPr>
          <w:lang w:val="ro-RO"/>
        </w:rPr>
        <w:t>e parcursul anului 2019 a fost remis spre examinare și aprobare</w:t>
      </w:r>
      <w:r w:rsidRPr="00995F15">
        <w:t xml:space="preserve"> </w:t>
      </w:r>
      <w:proofErr w:type="spellStart"/>
      <w:r w:rsidRPr="00995F15">
        <w:t>către</w:t>
      </w:r>
      <w:proofErr w:type="spellEnd"/>
      <w:r w:rsidRPr="00995F15">
        <w:t xml:space="preserve"> </w:t>
      </w:r>
      <w:proofErr w:type="spellStart"/>
      <w:r w:rsidRPr="00995F15">
        <w:t>Cancelaria</w:t>
      </w:r>
      <w:proofErr w:type="spellEnd"/>
      <w:r w:rsidRPr="00995F15">
        <w:t xml:space="preserve"> de Stat, </w:t>
      </w:r>
      <w:proofErr w:type="spellStart"/>
      <w:r w:rsidRPr="00995F15">
        <w:rPr>
          <w:i/>
        </w:rPr>
        <w:t>Proiectul</w:t>
      </w:r>
      <w:proofErr w:type="spellEnd"/>
      <w:r w:rsidRPr="00995F15">
        <w:rPr>
          <w:i/>
        </w:rPr>
        <w:t xml:space="preserve"> de </w:t>
      </w:r>
      <w:proofErr w:type="spellStart"/>
      <w:r w:rsidRPr="00995F15">
        <w:rPr>
          <w:i/>
        </w:rPr>
        <w:t>Hotărâre</w:t>
      </w:r>
      <w:proofErr w:type="spellEnd"/>
      <w:r w:rsidRPr="00995F15">
        <w:rPr>
          <w:i/>
        </w:rPr>
        <w:t xml:space="preserve"> de </w:t>
      </w:r>
      <w:proofErr w:type="spellStart"/>
      <w:r w:rsidRPr="00995F15">
        <w:rPr>
          <w:i/>
        </w:rPr>
        <w:t>Guvern</w:t>
      </w:r>
      <w:proofErr w:type="spellEnd"/>
      <w:r w:rsidRPr="00995F15">
        <w:rPr>
          <w:i/>
        </w:rPr>
        <w:t xml:space="preserve"> </w:t>
      </w:r>
      <w:proofErr w:type="spellStart"/>
      <w:r w:rsidRPr="00995F15">
        <w:rPr>
          <w:i/>
        </w:rPr>
        <w:t>pentru</w:t>
      </w:r>
      <w:proofErr w:type="spellEnd"/>
      <w:r w:rsidRPr="00995F15">
        <w:rPr>
          <w:i/>
        </w:rPr>
        <w:t xml:space="preserve"> </w:t>
      </w:r>
      <w:proofErr w:type="spellStart"/>
      <w:r w:rsidRPr="00995F15">
        <w:rPr>
          <w:i/>
        </w:rPr>
        <w:t>aprobarea</w:t>
      </w:r>
      <w:proofErr w:type="spellEnd"/>
      <w:r w:rsidRPr="00995F15">
        <w:rPr>
          <w:i/>
        </w:rPr>
        <w:t xml:space="preserve"> </w:t>
      </w:r>
      <w:proofErr w:type="spellStart"/>
      <w:r w:rsidRPr="00995F15">
        <w:rPr>
          <w:i/>
        </w:rPr>
        <w:t>Cerințelor</w:t>
      </w:r>
      <w:proofErr w:type="spellEnd"/>
      <w:r w:rsidRPr="00995F15">
        <w:rPr>
          <w:i/>
        </w:rPr>
        <w:t xml:space="preserve"> </w:t>
      </w:r>
      <w:proofErr w:type="spellStart"/>
      <w:r w:rsidRPr="00995F15">
        <w:rPr>
          <w:i/>
        </w:rPr>
        <w:t>privind</w:t>
      </w:r>
      <w:proofErr w:type="spellEnd"/>
      <w:r w:rsidRPr="00995F15">
        <w:rPr>
          <w:i/>
        </w:rPr>
        <w:t xml:space="preserve"> </w:t>
      </w:r>
      <w:proofErr w:type="spellStart"/>
      <w:r w:rsidRPr="00995F15">
        <w:rPr>
          <w:i/>
        </w:rPr>
        <w:t>utilizarea</w:t>
      </w:r>
      <w:proofErr w:type="spellEnd"/>
      <w:r w:rsidRPr="00995F15">
        <w:rPr>
          <w:i/>
        </w:rPr>
        <w:t xml:space="preserve"> </w:t>
      </w:r>
      <w:proofErr w:type="spellStart"/>
      <w:r w:rsidRPr="00995F15">
        <w:rPr>
          <w:i/>
        </w:rPr>
        <w:t>durabilă</w:t>
      </w:r>
      <w:proofErr w:type="spellEnd"/>
      <w:r w:rsidRPr="00995F15">
        <w:rPr>
          <w:i/>
        </w:rPr>
        <w:t xml:space="preserve"> a </w:t>
      </w:r>
      <w:proofErr w:type="spellStart"/>
      <w:r w:rsidRPr="00995F15">
        <w:rPr>
          <w:i/>
        </w:rPr>
        <w:t>produselor</w:t>
      </w:r>
      <w:proofErr w:type="spellEnd"/>
      <w:r w:rsidRPr="00995F15">
        <w:rPr>
          <w:i/>
        </w:rPr>
        <w:t xml:space="preserve"> de </w:t>
      </w:r>
      <w:proofErr w:type="spellStart"/>
      <w:r w:rsidRPr="00995F15">
        <w:rPr>
          <w:i/>
        </w:rPr>
        <w:t>uz</w:t>
      </w:r>
      <w:proofErr w:type="spellEnd"/>
      <w:r w:rsidRPr="00995F15">
        <w:rPr>
          <w:i/>
        </w:rPr>
        <w:t xml:space="preserve"> </w:t>
      </w:r>
      <w:proofErr w:type="spellStart"/>
      <w:r w:rsidRPr="00995F15">
        <w:rPr>
          <w:i/>
        </w:rPr>
        <w:t>fitosanita</w:t>
      </w:r>
      <w:r w:rsidRPr="00995F15">
        <w:t>r</w:t>
      </w:r>
      <w:proofErr w:type="spellEnd"/>
      <w:r w:rsidRPr="00995F15">
        <w:t xml:space="preserve">, </w:t>
      </w:r>
      <w:proofErr w:type="spellStart"/>
      <w:r w:rsidRPr="00995F15">
        <w:t>prin</w:t>
      </w:r>
      <w:proofErr w:type="spellEnd"/>
      <w:r w:rsidRPr="00995F15">
        <w:t xml:space="preserve"> </w:t>
      </w:r>
      <w:proofErr w:type="spellStart"/>
      <w:r w:rsidRPr="00995F15">
        <w:t>scrisoarea</w:t>
      </w:r>
      <w:proofErr w:type="spellEnd"/>
      <w:r w:rsidRPr="00995F15">
        <w:t xml:space="preserve"> </w:t>
      </w:r>
      <w:proofErr w:type="spellStart"/>
      <w:r w:rsidRPr="00995F15">
        <w:t>nr</w:t>
      </w:r>
      <w:proofErr w:type="spellEnd"/>
      <w:r w:rsidRPr="00995F15">
        <w:t xml:space="preserve"> 23-05-4885 din 24.12.2019.</w:t>
      </w:r>
      <w:r>
        <w:t xml:space="preserve"> </w:t>
      </w:r>
      <w:proofErr w:type="spellStart"/>
      <w:r>
        <w:t>Proiectul</w:t>
      </w:r>
      <w:proofErr w:type="spellEnd"/>
      <w:r>
        <w:t xml:space="preserve"> a </w:t>
      </w:r>
      <w:proofErr w:type="spellStart"/>
      <w:r>
        <w:t>fost</w:t>
      </w:r>
      <w:proofErr w:type="spellEnd"/>
      <w:r>
        <w:t xml:space="preserve"> </w:t>
      </w:r>
      <w:proofErr w:type="spellStart"/>
      <w:r>
        <w:t>aprobat</w:t>
      </w:r>
      <w:proofErr w:type="spellEnd"/>
      <w:r>
        <w:t xml:space="preserve"> </w:t>
      </w:r>
      <w:proofErr w:type="spellStart"/>
      <w:r>
        <w:t>prin</w:t>
      </w:r>
      <w:proofErr w:type="spellEnd"/>
      <w:r>
        <w:t xml:space="preserve"> </w:t>
      </w:r>
      <w:proofErr w:type="spellStart"/>
      <w:r>
        <w:t>Hotărâ</w:t>
      </w:r>
      <w:r w:rsidRPr="00995F15">
        <w:t>rea</w:t>
      </w:r>
      <w:proofErr w:type="spellEnd"/>
      <w:r w:rsidRPr="00995F15">
        <w:t xml:space="preserve"> </w:t>
      </w:r>
      <w:proofErr w:type="spellStart"/>
      <w:r w:rsidRPr="00995F15">
        <w:t>Guvernului</w:t>
      </w:r>
      <w:proofErr w:type="spellEnd"/>
      <w:r w:rsidRPr="00995F15">
        <w:t xml:space="preserve"> </w:t>
      </w:r>
      <w:proofErr w:type="spellStart"/>
      <w:r w:rsidR="00CF38A7">
        <w:t>n</w:t>
      </w:r>
      <w:r w:rsidRPr="00995F15">
        <w:t>r</w:t>
      </w:r>
      <w:proofErr w:type="spellEnd"/>
      <w:r w:rsidRPr="00995F15">
        <w:t>. 42 din 29</w:t>
      </w:r>
      <w:r>
        <w:t>.</w:t>
      </w:r>
      <w:r w:rsidRPr="00995F15">
        <w:t>01</w:t>
      </w:r>
      <w:r>
        <w:t>.</w:t>
      </w:r>
      <w:r w:rsidRPr="00995F15">
        <w:t xml:space="preserve">2020 </w:t>
      </w:r>
      <w:proofErr w:type="spellStart"/>
      <w:r w:rsidRPr="00995F15">
        <w:t>pentru</w:t>
      </w:r>
      <w:proofErr w:type="spellEnd"/>
      <w:r w:rsidRPr="00995F15">
        <w:t xml:space="preserve"> </w:t>
      </w:r>
      <w:proofErr w:type="spellStart"/>
      <w:r w:rsidRPr="00995F15">
        <w:t>aprobarea</w:t>
      </w:r>
      <w:proofErr w:type="spellEnd"/>
      <w:r w:rsidRPr="00995F15">
        <w:t xml:space="preserve"> </w:t>
      </w:r>
      <w:proofErr w:type="spellStart"/>
      <w:r w:rsidRPr="00995F15">
        <w:t>Cerințelor</w:t>
      </w:r>
      <w:proofErr w:type="spellEnd"/>
      <w:r w:rsidRPr="00995F15">
        <w:t xml:space="preserve"> </w:t>
      </w:r>
      <w:proofErr w:type="spellStart"/>
      <w:r w:rsidRPr="00995F15">
        <w:t>privind</w:t>
      </w:r>
      <w:proofErr w:type="spellEnd"/>
      <w:r w:rsidRPr="00995F15">
        <w:t xml:space="preserve"> </w:t>
      </w:r>
      <w:proofErr w:type="spellStart"/>
      <w:r w:rsidRPr="00995F15">
        <w:t>utilizarea</w:t>
      </w:r>
      <w:proofErr w:type="spellEnd"/>
      <w:r w:rsidRPr="00995F15">
        <w:t xml:space="preserve"> </w:t>
      </w:r>
      <w:proofErr w:type="spellStart"/>
      <w:r w:rsidRPr="00995F15">
        <w:t>durabilă</w:t>
      </w:r>
      <w:proofErr w:type="spellEnd"/>
      <w:r w:rsidRPr="00995F15">
        <w:t xml:space="preserve"> a </w:t>
      </w:r>
      <w:proofErr w:type="spellStart"/>
      <w:r w:rsidRPr="00995F15">
        <w:t>produselor</w:t>
      </w:r>
      <w:proofErr w:type="spellEnd"/>
      <w:r w:rsidRPr="00995F15">
        <w:t xml:space="preserve"> de </w:t>
      </w:r>
      <w:proofErr w:type="spellStart"/>
      <w:r w:rsidRPr="00995F15">
        <w:t>uz</w:t>
      </w:r>
      <w:proofErr w:type="spellEnd"/>
      <w:r w:rsidRPr="00995F15">
        <w:t xml:space="preserve"> </w:t>
      </w:r>
      <w:proofErr w:type="spellStart"/>
      <w:r w:rsidRPr="00995F15">
        <w:t>fitosanitar</w:t>
      </w:r>
      <w:proofErr w:type="spellEnd"/>
      <w:r w:rsidR="001309FF">
        <w:t>.</w:t>
      </w:r>
    </w:p>
    <w:p w:rsidR="00883C2F" w:rsidRPr="00866277" w:rsidRDefault="00883C2F" w:rsidP="004F46B7">
      <w:pPr>
        <w:ind w:firstLine="720"/>
        <w:jc w:val="both"/>
        <w:rPr>
          <w:lang w:val="ro-RO"/>
        </w:rPr>
      </w:pPr>
    </w:p>
    <w:p w:rsidR="0065583F" w:rsidRPr="00866277" w:rsidRDefault="0065583F" w:rsidP="004F46B7">
      <w:pPr>
        <w:ind w:firstLine="720"/>
        <w:jc w:val="both"/>
        <w:rPr>
          <w:rFonts w:eastAsia="Times New Roman"/>
          <w:b/>
          <w:bCs/>
          <w:lang w:val="ro-RO"/>
        </w:rPr>
      </w:pPr>
      <w:r w:rsidRPr="00866277">
        <w:rPr>
          <w:rFonts w:eastAsia="Times New Roman"/>
          <w:b/>
          <w:bCs/>
          <w:lang w:val="ro-RO"/>
        </w:rPr>
        <w:t xml:space="preserve">1.2. Consolidarea </w:t>
      </w:r>
      <w:r w:rsidR="00FB68D6" w:rsidRPr="00866277">
        <w:rPr>
          <w:rFonts w:eastAsia="Times New Roman"/>
          <w:b/>
          <w:bCs/>
          <w:lang w:val="ro-RO"/>
        </w:rPr>
        <w:t>capacităților</w:t>
      </w:r>
      <w:r w:rsidRPr="00866277">
        <w:rPr>
          <w:rFonts w:eastAsia="Times New Roman"/>
          <w:b/>
          <w:bCs/>
          <w:lang w:val="ro-RO"/>
        </w:rPr>
        <w:t xml:space="preserve"> de supraveghere a </w:t>
      </w:r>
      <w:r w:rsidR="00F3402A" w:rsidRPr="00866277">
        <w:rPr>
          <w:rFonts w:eastAsia="Times New Roman"/>
          <w:b/>
          <w:bCs/>
          <w:lang w:val="ro-RO"/>
        </w:rPr>
        <w:t>pieței</w:t>
      </w:r>
      <w:r w:rsidRPr="00866277">
        <w:rPr>
          <w:rFonts w:eastAsia="Times New Roman"/>
          <w:b/>
          <w:bCs/>
          <w:lang w:val="ro-RO"/>
        </w:rPr>
        <w:t xml:space="preserve"> </w:t>
      </w:r>
      <w:r w:rsidR="00EA70CE" w:rsidRPr="00866277">
        <w:rPr>
          <w:rFonts w:eastAsia="Times New Roman"/>
          <w:b/>
          <w:bCs/>
          <w:lang w:val="ro-RO"/>
        </w:rPr>
        <w:t>și</w:t>
      </w:r>
      <w:r w:rsidRPr="00866277">
        <w:rPr>
          <w:rFonts w:eastAsia="Times New Roman"/>
          <w:b/>
          <w:bCs/>
          <w:lang w:val="ro-RO"/>
        </w:rPr>
        <w:t xml:space="preserve"> sporirea </w:t>
      </w:r>
      <w:r w:rsidR="00FB68D6" w:rsidRPr="00866277">
        <w:rPr>
          <w:rFonts w:eastAsia="Times New Roman"/>
          <w:b/>
          <w:bCs/>
          <w:lang w:val="ro-RO"/>
        </w:rPr>
        <w:t>eficienței</w:t>
      </w:r>
      <w:r w:rsidR="00AF7DB0" w:rsidRPr="00866277">
        <w:rPr>
          <w:rFonts w:eastAsia="Times New Roman"/>
          <w:b/>
          <w:bCs/>
          <w:lang w:val="ro-RO"/>
        </w:rPr>
        <w:t xml:space="preserve"> supravegherii </w:t>
      </w:r>
      <w:r w:rsidR="00031C39" w:rsidRPr="00866277">
        <w:rPr>
          <w:rFonts w:eastAsia="Times New Roman"/>
          <w:b/>
          <w:bCs/>
          <w:lang w:val="ro-RO"/>
        </w:rPr>
        <w:t>pieței</w:t>
      </w:r>
    </w:p>
    <w:p w:rsidR="005705F8" w:rsidRDefault="00F64703" w:rsidP="004F46B7">
      <w:pPr>
        <w:ind w:firstLine="720"/>
        <w:jc w:val="both"/>
        <w:rPr>
          <w:lang w:val="ro-RO"/>
        </w:rPr>
      </w:pPr>
      <w:r w:rsidRPr="00866277">
        <w:rPr>
          <w:lang w:val="ro-RO"/>
        </w:rPr>
        <w:t>Cu referire</w:t>
      </w:r>
      <w:r w:rsidR="005705F8" w:rsidRPr="00866277">
        <w:rPr>
          <w:lang w:val="ro-RO"/>
        </w:rPr>
        <w:t xml:space="preserve"> la acțiunea </w:t>
      </w:r>
      <w:r w:rsidR="005705F8" w:rsidRPr="00866277">
        <w:rPr>
          <w:rFonts w:eastAsia="Times New Roman"/>
          <w:bCs/>
          <w:lang w:val="ro-RO"/>
        </w:rPr>
        <w:t>(</w:t>
      </w:r>
      <w:r w:rsidR="005705F8" w:rsidRPr="00866277">
        <w:rPr>
          <w:b/>
          <w:bCs/>
          <w:iCs/>
          <w:lang w:val="ro-RO" w:eastAsia="ru-RU"/>
        </w:rPr>
        <w:t>pct.</w:t>
      </w:r>
      <w:r w:rsidR="005705F8" w:rsidRPr="00866277">
        <w:rPr>
          <w:rFonts w:eastAsia="Times New Roman"/>
          <w:b/>
          <w:bCs/>
          <w:lang w:val="ro-RO"/>
        </w:rPr>
        <w:t>1.2.1</w:t>
      </w:r>
      <w:r w:rsidR="005705F8" w:rsidRPr="00866277">
        <w:rPr>
          <w:rFonts w:eastAsia="Times New Roman"/>
          <w:bCs/>
          <w:lang w:val="ro-RO"/>
        </w:rPr>
        <w:t>)</w:t>
      </w:r>
      <w:r w:rsidR="005705F8" w:rsidRPr="00866277">
        <w:rPr>
          <w:lang w:val="ro-RO"/>
        </w:rPr>
        <w:t xml:space="preserve"> </w:t>
      </w:r>
      <w:r w:rsidRPr="00866277">
        <w:rPr>
          <w:bCs/>
          <w:lang w:val="ro-RO"/>
        </w:rPr>
        <w:t xml:space="preserve">menționăm că, </w:t>
      </w:r>
      <w:r w:rsidR="005705F8" w:rsidRPr="00866277">
        <w:rPr>
          <w:bCs/>
          <w:lang w:val="ro-RO"/>
        </w:rPr>
        <w:t>autoritățile de supravegherea a pieței</w:t>
      </w:r>
      <w:r w:rsidR="00031E88" w:rsidRPr="00866277">
        <w:rPr>
          <w:bCs/>
          <w:lang w:val="ro-RO"/>
        </w:rPr>
        <w:t xml:space="preserve">: </w:t>
      </w:r>
      <w:r w:rsidR="00F33778" w:rsidRPr="00866277">
        <w:rPr>
          <w:lang w:val="ro-RO" w:eastAsia="ro-RO" w:bidi="ro-RO"/>
        </w:rPr>
        <w:t>Agenția pentru Protecția Consumatorilor și Supravegherea Pieței</w:t>
      </w:r>
      <w:r w:rsidR="00031E88" w:rsidRPr="00866277">
        <w:rPr>
          <w:lang w:val="ro-RO" w:eastAsia="ro-RO" w:bidi="ro-RO"/>
        </w:rPr>
        <w:t xml:space="preserve"> (APCSP)</w:t>
      </w:r>
      <w:r w:rsidR="00031C39" w:rsidRPr="00866277">
        <w:rPr>
          <w:lang w:val="ro-RO" w:eastAsia="ro-RO" w:bidi="ro-RO"/>
        </w:rPr>
        <w:t>,</w:t>
      </w:r>
      <w:r w:rsidR="00F33778" w:rsidRPr="00866277">
        <w:rPr>
          <w:lang w:val="ro-RO" w:eastAsia="ro-RO" w:bidi="ro-RO"/>
        </w:rPr>
        <w:t xml:space="preserve"> Agenția pentru Supraveghere Tehnică</w:t>
      </w:r>
      <w:r w:rsidR="00031E88" w:rsidRPr="00866277">
        <w:rPr>
          <w:lang w:val="ro-RO" w:eastAsia="ro-RO" w:bidi="ro-RO"/>
        </w:rPr>
        <w:t xml:space="preserve"> (AST)</w:t>
      </w:r>
      <w:r w:rsidR="00031C39" w:rsidRPr="00866277">
        <w:rPr>
          <w:lang w:val="ro-RO" w:eastAsia="ro-RO" w:bidi="ro-RO"/>
        </w:rPr>
        <w:t>,</w:t>
      </w:r>
      <w:r w:rsidR="00F33778" w:rsidRPr="00866277">
        <w:rPr>
          <w:lang w:val="ro-RO" w:eastAsia="ro-RO" w:bidi="ro-RO"/>
        </w:rPr>
        <w:t xml:space="preserve"> Agenția Națională pentru Reglementare în Comunicații Electronice și Tehnologia Informației</w:t>
      </w:r>
      <w:r w:rsidR="00031E88" w:rsidRPr="00866277">
        <w:rPr>
          <w:lang w:val="ro-RO" w:eastAsia="ro-RO" w:bidi="ro-RO"/>
        </w:rPr>
        <w:t xml:space="preserve"> (ANRCETI)</w:t>
      </w:r>
      <w:r w:rsidR="00F33778" w:rsidRPr="00866277">
        <w:rPr>
          <w:lang w:val="ro-RO" w:eastAsia="ro-RO" w:bidi="ro-RO"/>
        </w:rPr>
        <w:t xml:space="preserve"> și Inspectoratul pentru Protecția Mediului</w:t>
      </w:r>
      <w:r w:rsidR="00031E88" w:rsidRPr="00866277">
        <w:rPr>
          <w:lang w:val="ro-RO" w:eastAsia="ro-RO" w:bidi="ro-RO"/>
        </w:rPr>
        <w:t xml:space="preserve"> (IPM</w:t>
      </w:r>
      <w:r w:rsidR="005705F8" w:rsidRPr="00866277">
        <w:rPr>
          <w:bCs/>
          <w:lang w:val="ro-RO"/>
        </w:rPr>
        <w:t xml:space="preserve">) </w:t>
      </w:r>
      <w:r w:rsidR="00551588">
        <w:rPr>
          <w:bCs/>
          <w:lang w:val="ro-RO"/>
        </w:rPr>
        <w:t>au raportat</w:t>
      </w:r>
      <w:r w:rsidR="005705F8" w:rsidRPr="00866277">
        <w:rPr>
          <w:bCs/>
          <w:lang w:val="ro-RO"/>
        </w:rPr>
        <w:t xml:space="preserve"> elaborarea și aprobarea </w:t>
      </w:r>
      <w:r w:rsidR="005705F8" w:rsidRPr="00866277">
        <w:rPr>
          <w:lang w:val="ro-RO"/>
        </w:rPr>
        <w:t>programelor sectoriale de suprav</w:t>
      </w:r>
      <w:r w:rsidR="00551588">
        <w:rPr>
          <w:lang w:val="ro-RO"/>
        </w:rPr>
        <w:t>eghere a pieței pentru anul 2020</w:t>
      </w:r>
      <w:r w:rsidR="005705F8" w:rsidRPr="00866277">
        <w:rPr>
          <w:lang w:val="ro-RO"/>
        </w:rPr>
        <w:t xml:space="preserve"> conform domeniilor de competență.</w:t>
      </w:r>
    </w:p>
    <w:p w:rsidR="00551588" w:rsidRPr="00866277" w:rsidRDefault="00551588" w:rsidP="004F46B7">
      <w:pPr>
        <w:ind w:firstLine="720"/>
        <w:jc w:val="both"/>
        <w:rPr>
          <w:lang w:val="ro-RO"/>
        </w:rPr>
      </w:pPr>
      <w:r>
        <w:rPr>
          <w:lang w:val="ro-RO"/>
        </w:rPr>
        <w:t>Remarcăm că</w:t>
      </w:r>
      <w:r w:rsidR="006538FD">
        <w:rPr>
          <w:lang w:val="ro-RO"/>
        </w:rPr>
        <w:t>,</w:t>
      </w:r>
      <w:r>
        <w:rPr>
          <w:lang w:val="ro-RO"/>
        </w:rPr>
        <w:t xml:space="preserve"> programele sectoriale de supraveghere a pieței sunt elaborate, în principal, în temeiul </w:t>
      </w:r>
      <w:r w:rsidRPr="00866277">
        <w:rPr>
          <w:lang w:val="ro-RO"/>
        </w:rPr>
        <w:t>Legii nr.7</w:t>
      </w:r>
      <w:r w:rsidR="00F70738">
        <w:rPr>
          <w:lang w:val="ro-RO"/>
        </w:rPr>
        <w:t>/</w:t>
      </w:r>
      <w:r w:rsidRPr="00866277">
        <w:rPr>
          <w:lang w:val="ro-RO"/>
        </w:rPr>
        <w:t xml:space="preserve">2016 privind supravegherea pieței în ceea ce </w:t>
      </w:r>
      <w:proofErr w:type="spellStart"/>
      <w:r w:rsidRPr="00866277">
        <w:rPr>
          <w:lang w:val="ro-RO"/>
        </w:rPr>
        <w:t>priveşte</w:t>
      </w:r>
      <w:proofErr w:type="spellEnd"/>
      <w:r w:rsidRPr="00866277">
        <w:rPr>
          <w:lang w:val="ro-RO"/>
        </w:rPr>
        <w:t xml:space="preserve"> comercializarea produselor nealimentare</w:t>
      </w:r>
      <w:r w:rsidR="00EE3942">
        <w:rPr>
          <w:lang w:val="ro-RO"/>
        </w:rPr>
        <w:t xml:space="preserve"> (în continuare</w:t>
      </w:r>
      <w:r w:rsidR="00CF38A7">
        <w:rPr>
          <w:lang w:val="ro-RO"/>
        </w:rPr>
        <w:t xml:space="preserve"> </w:t>
      </w:r>
      <w:r w:rsidR="00EE3942">
        <w:rPr>
          <w:lang w:val="ro-RO"/>
        </w:rPr>
        <w:t>- Legea</w:t>
      </w:r>
      <w:r w:rsidR="00EE3942" w:rsidRPr="00866277">
        <w:rPr>
          <w:lang w:val="ro-RO"/>
        </w:rPr>
        <w:t xml:space="preserve"> nr.7/2016</w:t>
      </w:r>
      <w:r w:rsidR="00EE3942">
        <w:rPr>
          <w:lang w:val="ro-RO"/>
        </w:rPr>
        <w:t>)</w:t>
      </w:r>
      <w:r>
        <w:rPr>
          <w:lang w:val="ro-RO"/>
        </w:rPr>
        <w:t xml:space="preserve"> și în concordanță cu prevederile </w:t>
      </w:r>
      <w:r w:rsidRPr="00866277">
        <w:rPr>
          <w:lang w:val="ro-RO"/>
        </w:rPr>
        <w:t>Legii nr.131</w:t>
      </w:r>
      <w:r w:rsidR="00F70738">
        <w:rPr>
          <w:lang w:val="ro-RO"/>
        </w:rPr>
        <w:t>/</w:t>
      </w:r>
      <w:r w:rsidRPr="00866277">
        <w:rPr>
          <w:lang w:val="ro-RO"/>
        </w:rPr>
        <w:t>2012 privind controlul de stat asupra activității de întreprinzător</w:t>
      </w:r>
      <w:r>
        <w:rPr>
          <w:lang w:val="ro-RO"/>
        </w:rPr>
        <w:t>, precum și a actelor normative ce reglementează domeniul de competență.</w:t>
      </w:r>
      <w:r w:rsidR="006538FD">
        <w:rPr>
          <w:lang w:val="ro-RO"/>
        </w:rPr>
        <w:t xml:space="preserve"> În acest context, </w:t>
      </w:r>
      <w:r w:rsidR="00226B2D">
        <w:rPr>
          <w:lang w:val="ro-RO"/>
        </w:rPr>
        <w:t xml:space="preserve">conform informațiilor raportate, </w:t>
      </w:r>
      <w:r w:rsidR="006538FD">
        <w:rPr>
          <w:lang w:val="ro-RO"/>
        </w:rPr>
        <w:t>subliniem următoarele.</w:t>
      </w:r>
    </w:p>
    <w:p w:rsidR="00AB2E28" w:rsidRPr="00212EBE" w:rsidRDefault="00AB2E28" w:rsidP="00212EBE">
      <w:pPr>
        <w:ind w:firstLine="720"/>
        <w:jc w:val="both"/>
        <w:rPr>
          <w:bCs/>
          <w:lang w:val="ro-RO"/>
        </w:rPr>
      </w:pPr>
      <w:r w:rsidRPr="00212EBE">
        <w:rPr>
          <w:bCs/>
          <w:i/>
          <w:lang w:val="ro-RO"/>
        </w:rPr>
        <w:t xml:space="preserve">Programul sectorial de supraveghere a pieței </w:t>
      </w:r>
      <w:r w:rsidR="00832678" w:rsidRPr="00212EBE">
        <w:rPr>
          <w:bCs/>
          <w:i/>
          <w:lang w:val="ro-RO"/>
        </w:rPr>
        <w:t>al APCSP</w:t>
      </w:r>
      <w:r w:rsidR="00832678" w:rsidRPr="00212EBE">
        <w:rPr>
          <w:bCs/>
          <w:lang w:val="ro-RO"/>
        </w:rPr>
        <w:t xml:space="preserve"> </w:t>
      </w:r>
      <w:r w:rsidRPr="00212EBE">
        <w:rPr>
          <w:bCs/>
          <w:lang w:val="ro-RO"/>
        </w:rPr>
        <w:t xml:space="preserve">pentru anul 2020 a fost elaborat și aprobat prin ordinul </w:t>
      </w:r>
      <w:proofErr w:type="spellStart"/>
      <w:r w:rsidRPr="00212EBE">
        <w:rPr>
          <w:lang w:val="ro-RO"/>
        </w:rPr>
        <w:t>Agenţiei</w:t>
      </w:r>
      <w:proofErr w:type="spellEnd"/>
      <w:r w:rsidRPr="00212EBE">
        <w:rPr>
          <w:lang w:val="ro-RO"/>
        </w:rPr>
        <w:t xml:space="preserve"> </w:t>
      </w:r>
      <w:r w:rsidRPr="00212EBE">
        <w:rPr>
          <w:bCs/>
          <w:lang w:val="ro-RO"/>
        </w:rPr>
        <w:t>nr. 43 din 29 noiembrie 2019, plasat pe site-ul APCSP.</w:t>
      </w:r>
    </w:p>
    <w:p w:rsidR="00AB2E28" w:rsidRPr="00212EBE" w:rsidRDefault="00537BE6" w:rsidP="00212EBE">
      <w:pPr>
        <w:ind w:firstLine="720"/>
        <w:jc w:val="both"/>
        <w:rPr>
          <w:lang w:val="ro-RO"/>
        </w:rPr>
      </w:pPr>
      <w:hyperlink r:id="rId8" w:history="1">
        <w:r w:rsidR="00AB2E28" w:rsidRPr="00212EBE">
          <w:rPr>
            <w:rStyle w:val="Hyperlink"/>
            <w:color w:val="auto"/>
            <w:lang w:val="ro-RO"/>
          </w:rPr>
          <w:t>http://consumator.gov.md/uploads/0/images/large/545c0635609f49bfc777cc620daefd99_2430134-md-programul-sect.pdf</w:t>
        </w:r>
      </w:hyperlink>
      <w:r w:rsidR="00AB2E28" w:rsidRPr="00212EBE">
        <w:rPr>
          <w:rStyle w:val="Hyperlink"/>
          <w:color w:val="auto"/>
          <w:lang w:val="ro-RO"/>
        </w:rPr>
        <w:t>.</w:t>
      </w:r>
      <w:r w:rsidR="00AB2E28" w:rsidRPr="00212EBE">
        <w:rPr>
          <w:lang w:val="ro-RO"/>
        </w:rPr>
        <w:t xml:space="preserve"> </w:t>
      </w:r>
    </w:p>
    <w:p w:rsidR="0087448A" w:rsidRPr="00212EBE" w:rsidRDefault="0087448A" w:rsidP="00212EBE">
      <w:pPr>
        <w:ind w:firstLine="720"/>
        <w:jc w:val="both"/>
        <w:rPr>
          <w:lang w:val="ro-RO"/>
        </w:rPr>
      </w:pPr>
      <w:r w:rsidRPr="00212EBE">
        <w:rPr>
          <w:bCs/>
          <w:lang w:val="ro-RO"/>
        </w:rPr>
        <w:t>D</w:t>
      </w:r>
      <w:r w:rsidR="00AB2E28" w:rsidRPr="00212EBE">
        <w:rPr>
          <w:lang w:val="ro-RO"/>
        </w:rPr>
        <w:t xml:space="preserve">e către IPM a fost elaborat </w:t>
      </w:r>
      <w:r w:rsidR="00AB2E28" w:rsidRPr="00212EBE">
        <w:rPr>
          <w:i/>
          <w:lang w:val="ro-RO"/>
        </w:rPr>
        <w:t>Programu</w:t>
      </w:r>
      <w:r w:rsidR="00832678" w:rsidRPr="00212EBE">
        <w:rPr>
          <w:i/>
          <w:lang w:val="ro-RO"/>
        </w:rPr>
        <w:t>l</w:t>
      </w:r>
      <w:r w:rsidR="00AB2E28" w:rsidRPr="00212EBE">
        <w:rPr>
          <w:i/>
          <w:lang w:val="ro-RO"/>
        </w:rPr>
        <w:t xml:space="preserve"> sectorial de supraveghere a pieței pentru anul 2020</w:t>
      </w:r>
      <w:r w:rsidR="00832678" w:rsidRPr="00212EBE">
        <w:rPr>
          <w:lang w:val="ro-RO"/>
        </w:rPr>
        <w:t>, î</w:t>
      </w:r>
      <w:r w:rsidR="00AB2E28" w:rsidRPr="00212EBE">
        <w:rPr>
          <w:lang w:val="ro-RO"/>
        </w:rPr>
        <w:t xml:space="preserve">n conformitate cu </w:t>
      </w:r>
      <w:r w:rsidR="00226B2D" w:rsidRPr="00212EBE">
        <w:rPr>
          <w:lang w:val="ro-RO"/>
        </w:rPr>
        <w:t xml:space="preserve">actele sus menționate, precum și a </w:t>
      </w:r>
      <w:r w:rsidR="00AB2E28" w:rsidRPr="00212EBE">
        <w:rPr>
          <w:lang w:val="ro-RO"/>
        </w:rPr>
        <w:t>Legii nr.1515</w:t>
      </w:r>
      <w:r w:rsidR="00F70738">
        <w:rPr>
          <w:lang w:val="ro-RO"/>
        </w:rPr>
        <w:t>/</w:t>
      </w:r>
      <w:r w:rsidR="00AB2E28" w:rsidRPr="00212EBE">
        <w:rPr>
          <w:lang w:val="ro-RO"/>
        </w:rPr>
        <w:t>1993 privind protecția mediului înconjurător, Legii nr.851</w:t>
      </w:r>
      <w:r w:rsidR="00F70738">
        <w:rPr>
          <w:lang w:val="ro-RO"/>
        </w:rPr>
        <w:t>/</w:t>
      </w:r>
      <w:r w:rsidR="00AB2E28" w:rsidRPr="00212EBE">
        <w:rPr>
          <w:lang w:val="ro-RO"/>
        </w:rPr>
        <w:t>1996 privind expertiza ecologică, Legii nr.l540</w:t>
      </w:r>
      <w:r w:rsidR="00F70738">
        <w:rPr>
          <w:lang w:val="ro-RO"/>
        </w:rPr>
        <w:t>/</w:t>
      </w:r>
      <w:r w:rsidR="00AB2E28" w:rsidRPr="00212EBE">
        <w:rPr>
          <w:lang w:val="ro-RO"/>
        </w:rPr>
        <w:t xml:space="preserve">1998 privind plata pentru poluarea mediului, Strategiei de gestionare a </w:t>
      </w:r>
      <w:proofErr w:type="spellStart"/>
      <w:r w:rsidR="00AB2E28" w:rsidRPr="00212EBE">
        <w:rPr>
          <w:lang w:val="ro-RO"/>
        </w:rPr>
        <w:t>deşeurilor</w:t>
      </w:r>
      <w:proofErr w:type="spellEnd"/>
      <w:r w:rsidR="00AB2E28" w:rsidRPr="00212EBE">
        <w:rPr>
          <w:lang w:val="ro-RO"/>
        </w:rPr>
        <w:t xml:space="preserve"> în Republica Moldova pentru anii 2013-2027 aprobată prin </w:t>
      </w:r>
      <w:proofErr w:type="spellStart"/>
      <w:r w:rsidR="00AB2E28" w:rsidRPr="00212EBE">
        <w:rPr>
          <w:lang w:val="ro-RO"/>
        </w:rPr>
        <w:t>Hotărîrea</w:t>
      </w:r>
      <w:proofErr w:type="spellEnd"/>
      <w:r w:rsidR="00AB2E28" w:rsidRPr="00212EBE">
        <w:rPr>
          <w:lang w:val="ro-RO"/>
        </w:rPr>
        <w:t xml:space="preserve"> Guvernului nr.248</w:t>
      </w:r>
      <w:r w:rsidR="00F70738">
        <w:rPr>
          <w:lang w:val="ro-RO"/>
        </w:rPr>
        <w:t>/</w:t>
      </w:r>
      <w:r w:rsidR="00AB2E28" w:rsidRPr="00212EBE">
        <w:rPr>
          <w:lang w:val="ro-RO"/>
        </w:rPr>
        <w:t>2013, Legii nr.209</w:t>
      </w:r>
      <w:r w:rsidR="00F70738">
        <w:rPr>
          <w:lang w:val="ro-RO"/>
        </w:rPr>
        <w:t>/</w:t>
      </w:r>
      <w:r w:rsidR="00AB2E28" w:rsidRPr="00212EBE">
        <w:rPr>
          <w:lang w:val="ro-RO"/>
        </w:rPr>
        <w:t xml:space="preserve">2016 privind </w:t>
      </w:r>
      <w:proofErr w:type="spellStart"/>
      <w:r w:rsidR="00AB2E28" w:rsidRPr="00212EBE">
        <w:rPr>
          <w:lang w:val="ro-RO"/>
        </w:rPr>
        <w:t>deşeurile</w:t>
      </w:r>
      <w:proofErr w:type="spellEnd"/>
      <w:r w:rsidR="00AB2E28" w:rsidRPr="00212EBE">
        <w:rPr>
          <w:lang w:val="ro-RO"/>
        </w:rPr>
        <w:t>.</w:t>
      </w:r>
    </w:p>
    <w:p w:rsidR="00AB2E28" w:rsidRPr="00212EBE" w:rsidRDefault="00226B2D" w:rsidP="00212EBE">
      <w:pPr>
        <w:ind w:firstLine="720"/>
        <w:jc w:val="both"/>
        <w:rPr>
          <w:lang w:val="ro-RO"/>
        </w:rPr>
      </w:pPr>
      <w:r w:rsidRPr="00212EBE">
        <w:rPr>
          <w:lang w:val="ro-RO"/>
        </w:rPr>
        <w:t>Este de menționat că</w:t>
      </w:r>
      <w:r w:rsidR="00AB2E28" w:rsidRPr="00212EBE">
        <w:rPr>
          <w:lang w:val="ro-RO"/>
        </w:rPr>
        <w:t xml:space="preserve">, planul de activitate al IPM </w:t>
      </w:r>
      <w:proofErr w:type="spellStart"/>
      <w:r w:rsidR="00AB2E28" w:rsidRPr="00212EBE">
        <w:rPr>
          <w:lang w:val="ro-RO"/>
        </w:rPr>
        <w:t>şi</w:t>
      </w:r>
      <w:proofErr w:type="spellEnd"/>
      <w:r w:rsidR="00AB2E28" w:rsidRPr="00212EBE">
        <w:rPr>
          <w:lang w:val="ro-RO"/>
        </w:rPr>
        <w:t xml:space="preserve"> a </w:t>
      </w:r>
      <w:proofErr w:type="spellStart"/>
      <w:r w:rsidR="00AB2E28" w:rsidRPr="00212EBE">
        <w:rPr>
          <w:lang w:val="ro-RO"/>
        </w:rPr>
        <w:t>subdiziunilor</w:t>
      </w:r>
      <w:proofErr w:type="spellEnd"/>
      <w:r w:rsidR="00AB2E28" w:rsidRPr="00212EBE">
        <w:rPr>
          <w:lang w:val="ro-RO"/>
        </w:rPr>
        <w:t xml:space="preserve"> teritoriale include inclusiv controlul agenților economici, producători de ambalaje, </w:t>
      </w:r>
      <w:proofErr w:type="spellStart"/>
      <w:r w:rsidR="00AB2E28" w:rsidRPr="00212EBE">
        <w:rPr>
          <w:lang w:val="ro-RO"/>
        </w:rPr>
        <w:t>cît</w:t>
      </w:r>
      <w:proofErr w:type="spellEnd"/>
      <w:r w:rsidR="00AB2E28" w:rsidRPr="00212EBE">
        <w:rPr>
          <w:lang w:val="ro-RO"/>
        </w:rPr>
        <w:t xml:space="preserve"> </w:t>
      </w:r>
      <w:proofErr w:type="spellStart"/>
      <w:r w:rsidR="00AB2E28" w:rsidRPr="00212EBE">
        <w:rPr>
          <w:lang w:val="ro-RO"/>
        </w:rPr>
        <w:t>şi</w:t>
      </w:r>
      <w:proofErr w:type="spellEnd"/>
      <w:r w:rsidR="00AB2E28" w:rsidRPr="00212EBE">
        <w:rPr>
          <w:lang w:val="ro-RO"/>
        </w:rPr>
        <w:t xml:space="preserve"> a celor care </w:t>
      </w:r>
      <w:proofErr w:type="spellStart"/>
      <w:r w:rsidR="00AB2E28" w:rsidRPr="00212EBE">
        <w:rPr>
          <w:lang w:val="ro-RO"/>
        </w:rPr>
        <w:t>formeazä</w:t>
      </w:r>
      <w:proofErr w:type="spellEnd"/>
      <w:r w:rsidR="00AB2E28" w:rsidRPr="00212EBE">
        <w:rPr>
          <w:lang w:val="ro-RO"/>
        </w:rPr>
        <w:t xml:space="preserve"> </w:t>
      </w:r>
      <w:proofErr w:type="spellStart"/>
      <w:r w:rsidR="00AB2E28" w:rsidRPr="00212EBE">
        <w:rPr>
          <w:lang w:val="ro-RO"/>
        </w:rPr>
        <w:t>deşeuri</w:t>
      </w:r>
      <w:proofErr w:type="spellEnd"/>
      <w:r w:rsidR="00AB2E28" w:rsidRPr="00212EBE">
        <w:rPr>
          <w:lang w:val="ro-RO"/>
        </w:rPr>
        <w:t xml:space="preserve"> de ambalaje în procesul de activitate a agenților economici pe </w:t>
      </w:r>
      <w:proofErr w:type="spellStart"/>
      <w:r w:rsidR="00AB2E28" w:rsidRPr="00212EBE">
        <w:rPr>
          <w:lang w:val="ro-RO"/>
        </w:rPr>
        <w:t>teritotiul</w:t>
      </w:r>
      <w:proofErr w:type="spellEnd"/>
      <w:r w:rsidR="00AB2E28" w:rsidRPr="00212EBE">
        <w:rPr>
          <w:lang w:val="ro-RO"/>
        </w:rPr>
        <w:t xml:space="preserve"> RM. </w:t>
      </w:r>
    </w:p>
    <w:p w:rsidR="001C48D7" w:rsidRPr="00212EBE" w:rsidRDefault="00226B2D" w:rsidP="00212EBE">
      <w:pPr>
        <w:ind w:firstLine="720"/>
        <w:jc w:val="both"/>
        <w:rPr>
          <w:lang w:val="en-US"/>
        </w:rPr>
      </w:pPr>
      <w:r w:rsidRPr="00212EBE">
        <w:rPr>
          <w:lang w:val="en-US"/>
        </w:rPr>
        <w:lastRenderedPageBreak/>
        <w:t xml:space="preserve">AST a </w:t>
      </w:r>
      <w:proofErr w:type="spellStart"/>
      <w:r w:rsidRPr="00212EBE">
        <w:rPr>
          <w:lang w:val="en-US"/>
        </w:rPr>
        <w:t>elaborat</w:t>
      </w:r>
      <w:proofErr w:type="spellEnd"/>
      <w:r w:rsidRPr="00212EBE">
        <w:rPr>
          <w:lang w:val="en-US"/>
        </w:rPr>
        <w:t xml:space="preserve"> </w:t>
      </w:r>
      <w:proofErr w:type="spellStart"/>
      <w:r w:rsidRPr="00212EBE">
        <w:rPr>
          <w:i/>
          <w:lang w:val="en-US"/>
        </w:rPr>
        <w:t>P</w:t>
      </w:r>
      <w:r w:rsidR="001C48D7" w:rsidRPr="00212EBE">
        <w:rPr>
          <w:i/>
          <w:lang w:val="en-US"/>
        </w:rPr>
        <w:t>rogramul</w:t>
      </w:r>
      <w:proofErr w:type="spellEnd"/>
      <w:r w:rsidR="001C48D7" w:rsidRPr="00212EBE">
        <w:rPr>
          <w:i/>
          <w:lang w:val="en-US"/>
        </w:rPr>
        <w:t xml:space="preserve"> sectorial de </w:t>
      </w:r>
      <w:proofErr w:type="spellStart"/>
      <w:r w:rsidR="001C48D7" w:rsidRPr="00212EBE">
        <w:rPr>
          <w:i/>
          <w:lang w:val="en-US"/>
        </w:rPr>
        <w:t>supraveghere</w:t>
      </w:r>
      <w:proofErr w:type="spellEnd"/>
      <w:r w:rsidR="001C48D7" w:rsidRPr="00212EBE">
        <w:rPr>
          <w:i/>
          <w:lang w:val="en-US"/>
        </w:rPr>
        <w:t xml:space="preserve"> a </w:t>
      </w:r>
      <w:proofErr w:type="spellStart"/>
      <w:r w:rsidR="001C48D7" w:rsidRPr="00212EBE">
        <w:rPr>
          <w:i/>
          <w:lang w:val="en-US"/>
        </w:rPr>
        <w:t>pieței</w:t>
      </w:r>
      <w:proofErr w:type="spellEnd"/>
      <w:r w:rsidR="001C48D7" w:rsidRPr="00212EBE">
        <w:rPr>
          <w:lang w:val="en-US"/>
        </w:rPr>
        <w:t xml:space="preserve"> </w:t>
      </w:r>
      <w:proofErr w:type="spellStart"/>
      <w:r w:rsidRPr="00212EBE">
        <w:rPr>
          <w:i/>
          <w:lang w:val="en-US"/>
        </w:rPr>
        <w:t>pentru</w:t>
      </w:r>
      <w:proofErr w:type="spellEnd"/>
      <w:r w:rsidRPr="00212EBE">
        <w:rPr>
          <w:i/>
          <w:lang w:val="en-US"/>
        </w:rPr>
        <w:t xml:space="preserve"> </w:t>
      </w:r>
      <w:proofErr w:type="spellStart"/>
      <w:r w:rsidRPr="00212EBE">
        <w:rPr>
          <w:i/>
          <w:lang w:val="en-US"/>
        </w:rPr>
        <w:t>anul</w:t>
      </w:r>
      <w:proofErr w:type="spellEnd"/>
      <w:r w:rsidRPr="00212EBE">
        <w:rPr>
          <w:i/>
          <w:lang w:val="en-US"/>
        </w:rPr>
        <w:t xml:space="preserve"> 2020</w:t>
      </w:r>
      <w:r w:rsidRPr="00212EBE">
        <w:rPr>
          <w:lang w:val="en-US"/>
        </w:rPr>
        <w:t xml:space="preserve"> </w:t>
      </w:r>
      <w:proofErr w:type="spellStart"/>
      <w:r w:rsidRPr="00212EBE">
        <w:rPr>
          <w:lang w:val="en-US"/>
        </w:rPr>
        <w:t>pe</w:t>
      </w:r>
      <w:proofErr w:type="spellEnd"/>
      <w:r w:rsidR="001C48D7" w:rsidRPr="00212EBE">
        <w:rPr>
          <w:lang w:val="en-US"/>
        </w:rPr>
        <w:t xml:space="preserve"> </w:t>
      </w:r>
      <w:proofErr w:type="spellStart"/>
      <w:r w:rsidR="001C48D7" w:rsidRPr="00212EBE">
        <w:rPr>
          <w:lang w:val="en-US"/>
        </w:rPr>
        <w:t>domeniilor</w:t>
      </w:r>
      <w:proofErr w:type="spellEnd"/>
      <w:r w:rsidR="001C48D7" w:rsidRPr="00212EBE">
        <w:rPr>
          <w:lang w:val="en-US"/>
        </w:rPr>
        <w:t xml:space="preserve"> </w:t>
      </w:r>
      <w:proofErr w:type="spellStart"/>
      <w:r w:rsidR="001C48D7" w:rsidRPr="00212EBE">
        <w:rPr>
          <w:lang w:val="en-US"/>
        </w:rPr>
        <w:t>reglementate</w:t>
      </w:r>
      <w:proofErr w:type="spellEnd"/>
      <w:r w:rsidR="001C48D7" w:rsidRPr="00212EBE">
        <w:rPr>
          <w:lang w:val="en-US"/>
        </w:rPr>
        <w:t xml:space="preserve">, </w:t>
      </w:r>
      <w:proofErr w:type="spellStart"/>
      <w:r w:rsidRPr="00212EBE">
        <w:rPr>
          <w:lang w:val="en-US"/>
        </w:rPr>
        <w:t>înconformitate</w:t>
      </w:r>
      <w:proofErr w:type="spellEnd"/>
      <w:r w:rsidRPr="00212EBE">
        <w:rPr>
          <w:lang w:val="en-US"/>
        </w:rPr>
        <w:t xml:space="preserve"> cu </w:t>
      </w:r>
      <w:proofErr w:type="spellStart"/>
      <w:r w:rsidRPr="00212EBE">
        <w:rPr>
          <w:lang w:val="en-US"/>
        </w:rPr>
        <w:t>legislația</w:t>
      </w:r>
      <w:proofErr w:type="spellEnd"/>
      <w:r w:rsidRPr="00212EBE">
        <w:rPr>
          <w:lang w:val="en-US"/>
        </w:rPr>
        <w:t xml:space="preserve"> </w:t>
      </w:r>
      <w:proofErr w:type="spellStart"/>
      <w:r w:rsidRPr="00212EBE">
        <w:rPr>
          <w:lang w:val="en-US"/>
        </w:rPr>
        <w:t>în</w:t>
      </w:r>
      <w:proofErr w:type="spellEnd"/>
      <w:r w:rsidRPr="00212EBE">
        <w:rPr>
          <w:lang w:val="en-US"/>
        </w:rPr>
        <w:t xml:space="preserve"> </w:t>
      </w:r>
      <w:proofErr w:type="spellStart"/>
      <w:r w:rsidRPr="00212EBE">
        <w:rPr>
          <w:lang w:val="en-US"/>
        </w:rPr>
        <w:t>vigoare</w:t>
      </w:r>
      <w:proofErr w:type="spellEnd"/>
      <w:r w:rsidRPr="00212EBE">
        <w:rPr>
          <w:lang w:val="en-US"/>
        </w:rPr>
        <w:t xml:space="preserve"> </w:t>
      </w:r>
      <w:proofErr w:type="spellStart"/>
      <w:r w:rsidRPr="00212EBE">
        <w:rPr>
          <w:lang w:val="en-US"/>
        </w:rPr>
        <w:t>și</w:t>
      </w:r>
      <w:proofErr w:type="spellEnd"/>
      <w:r w:rsidRPr="00212EBE">
        <w:rPr>
          <w:lang w:val="en-US"/>
        </w:rPr>
        <w:t xml:space="preserve"> a </w:t>
      </w:r>
      <w:proofErr w:type="spellStart"/>
      <w:r w:rsidRPr="00212EBE">
        <w:rPr>
          <w:lang w:val="en-US"/>
        </w:rPr>
        <w:t>obiectivelor</w:t>
      </w:r>
      <w:proofErr w:type="spellEnd"/>
      <w:r w:rsidRPr="00212EBE">
        <w:rPr>
          <w:lang w:val="en-US"/>
        </w:rPr>
        <w:t xml:space="preserve"> </w:t>
      </w:r>
      <w:proofErr w:type="spellStart"/>
      <w:r w:rsidRPr="00212EBE">
        <w:rPr>
          <w:lang w:val="en-US"/>
        </w:rPr>
        <w:t>instituționale</w:t>
      </w:r>
      <w:proofErr w:type="spellEnd"/>
      <w:r w:rsidRPr="00212EBE">
        <w:rPr>
          <w:lang w:val="en-US"/>
        </w:rPr>
        <w:t xml:space="preserve"> </w:t>
      </w:r>
      <w:proofErr w:type="spellStart"/>
      <w:r w:rsidRPr="00212EBE">
        <w:rPr>
          <w:lang w:val="en-US"/>
        </w:rPr>
        <w:t>trasate</w:t>
      </w:r>
      <w:proofErr w:type="spellEnd"/>
      <w:r w:rsidRPr="00212EBE">
        <w:rPr>
          <w:lang w:val="en-US"/>
        </w:rPr>
        <w:t xml:space="preserve"> </w:t>
      </w:r>
      <w:proofErr w:type="spellStart"/>
      <w:r w:rsidRPr="00212EBE">
        <w:rPr>
          <w:lang w:val="en-US"/>
        </w:rPr>
        <w:t>pentru</w:t>
      </w:r>
      <w:proofErr w:type="spellEnd"/>
      <w:r w:rsidRPr="00212EBE">
        <w:rPr>
          <w:lang w:val="en-US"/>
        </w:rPr>
        <w:t xml:space="preserve"> </w:t>
      </w:r>
      <w:proofErr w:type="spellStart"/>
      <w:r w:rsidRPr="00212EBE">
        <w:rPr>
          <w:lang w:val="en-US"/>
        </w:rPr>
        <w:t>perioada</w:t>
      </w:r>
      <w:proofErr w:type="spellEnd"/>
      <w:r w:rsidRPr="00212EBE">
        <w:rPr>
          <w:lang w:val="en-US"/>
        </w:rPr>
        <w:t xml:space="preserve"> </w:t>
      </w:r>
      <w:proofErr w:type="spellStart"/>
      <w:r w:rsidRPr="00212EBE">
        <w:rPr>
          <w:lang w:val="en-US"/>
        </w:rPr>
        <w:t>respectivă</w:t>
      </w:r>
      <w:proofErr w:type="spellEnd"/>
      <w:r w:rsidRPr="00212EBE">
        <w:rPr>
          <w:lang w:val="en-US"/>
        </w:rPr>
        <w:t>.</w:t>
      </w:r>
    </w:p>
    <w:p w:rsidR="001C48D7" w:rsidRPr="00866277" w:rsidRDefault="001C48D7" w:rsidP="0087448A">
      <w:pPr>
        <w:ind w:firstLine="461"/>
        <w:jc w:val="both"/>
        <w:rPr>
          <w:lang w:val="en-US"/>
        </w:rPr>
      </w:pPr>
    </w:p>
    <w:p w:rsidR="00A7575C" w:rsidRPr="00866277" w:rsidRDefault="00964E6F" w:rsidP="002D3208">
      <w:pPr>
        <w:ind w:firstLine="720"/>
        <w:jc w:val="both"/>
        <w:rPr>
          <w:lang w:val="ro-RO" w:eastAsia="ro-RO" w:bidi="ro-RO"/>
        </w:rPr>
      </w:pPr>
      <w:r w:rsidRPr="00866277">
        <w:rPr>
          <w:lang w:val="ro-RO"/>
        </w:rPr>
        <w:t xml:space="preserve">Ministerul Economiei și Infrastructurii (MEI), în conformitate cu prevederile Legii nr.7/2016, a elaborat </w:t>
      </w:r>
      <w:r w:rsidRPr="00866277">
        <w:rPr>
          <w:i/>
          <w:lang w:val="ro-RO"/>
        </w:rPr>
        <w:t>Programul general de supraveghere a pieței pentru anul 2020</w:t>
      </w:r>
      <w:r w:rsidRPr="00866277">
        <w:rPr>
          <w:lang w:val="ro-RO"/>
        </w:rPr>
        <w:t xml:space="preserve"> </w:t>
      </w:r>
      <w:r w:rsidRPr="00866277">
        <w:rPr>
          <w:rFonts w:eastAsia="Times New Roman"/>
          <w:bCs/>
          <w:lang w:val="ro-RO"/>
        </w:rPr>
        <w:t>(</w:t>
      </w:r>
      <w:r w:rsidRPr="00866277">
        <w:rPr>
          <w:b/>
          <w:bCs/>
          <w:iCs/>
          <w:lang w:val="ro-RO" w:eastAsia="ru-RU"/>
        </w:rPr>
        <w:t>pct.</w:t>
      </w:r>
      <w:r w:rsidRPr="00866277">
        <w:rPr>
          <w:rFonts w:eastAsia="Times New Roman"/>
          <w:b/>
          <w:bCs/>
          <w:lang w:val="ro-RO"/>
        </w:rPr>
        <w:t>1.2.2</w:t>
      </w:r>
      <w:r w:rsidRPr="00866277">
        <w:rPr>
          <w:rFonts w:eastAsia="Times New Roman"/>
          <w:bCs/>
          <w:lang w:val="ro-RO"/>
        </w:rPr>
        <w:t>)</w:t>
      </w:r>
      <w:r w:rsidRPr="00866277">
        <w:rPr>
          <w:lang w:val="ro-RO"/>
        </w:rPr>
        <w:t xml:space="preserve"> </w:t>
      </w:r>
      <w:r w:rsidR="00A7575C" w:rsidRPr="00866277">
        <w:rPr>
          <w:lang w:val="ro-RO"/>
        </w:rPr>
        <w:t xml:space="preserve">în baza programelor sectoriale de supraveghere a pieței prezentate de autoritățile de supraveghere a pieței: </w:t>
      </w:r>
      <w:r w:rsidR="00A7575C" w:rsidRPr="00866277">
        <w:rPr>
          <w:lang w:val="ro-RO" w:eastAsia="ro-RO" w:bidi="ro-RO"/>
        </w:rPr>
        <w:t>Agenția pentru Protecția Consumatorilor și Supravegherea Pieței; Agenția pentru Supraveghere Tehnică</w:t>
      </w:r>
      <w:r w:rsidR="00A7575C" w:rsidRPr="003D1BAD">
        <w:rPr>
          <w:lang w:val="ro-RO" w:eastAsia="ro-RO" w:bidi="ro-RO"/>
        </w:rPr>
        <w:t>; Agenția Națională pentru Reglementare în Comunicații Electronice și Tehnologia Informației</w:t>
      </w:r>
      <w:r w:rsidR="00A7575C" w:rsidRPr="00866277">
        <w:rPr>
          <w:lang w:val="ro-RO" w:eastAsia="ro-RO" w:bidi="ro-RO"/>
        </w:rPr>
        <w:t xml:space="preserve"> și Inspectoratul pentru Protecția Mediului.</w:t>
      </w:r>
    </w:p>
    <w:p w:rsidR="00A7575C" w:rsidRPr="00866277" w:rsidRDefault="00A7575C" w:rsidP="00A7575C">
      <w:pPr>
        <w:ind w:firstLine="720"/>
        <w:jc w:val="both"/>
        <w:rPr>
          <w:lang w:val="ro-RO"/>
        </w:rPr>
      </w:pPr>
      <w:r w:rsidRPr="00866277">
        <w:rPr>
          <w:lang w:val="ro-RO"/>
        </w:rPr>
        <w:t xml:space="preserve">Programul </w:t>
      </w:r>
      <w:r w:rsidR="00F70738">
        <w:rPr>
          <w:lang w:val="ro-RO"/>
        </w:rPr>
        <w:t>g</w:t>
      </w:r>
      <w:r w:rsidRPr="00866277">
        <w:rPr>
          <w:lang w:val="ro-RO"/>
        </w:rPr>
        <w:t xml:space="preserve">eneral de supraveghere a pieței pentru anul 2020 a fost aprobat prin Ordinul MEI nr.5 din </w:t>
      </w:r>
      <w:r w:rsidR="00EE3942">
        <w:rPr>
          <w:lang w:val="ro-RO"/>
        </w:rPr>
        <w:t>0</w:t>
      </w:r>
      <w:r w:rsidRPr="00866277">
        <w:rPr>
          <w:lang w:val="ro-RO"/>
        </w:rPr>
        <w:t>9.01.2020.</w:t>
      </w:r>
    </w:p>
    <w:p w:rsidR="00033309" w:rsidRPr="00866277" w:rsidRDefault="00033309" w:rsidP="00A7575C">
      <w:pPr>
        <w:ind w:firstLine="720"/>
        <w:jc w:val="both"/>
        <w:rPr>
          <w:lang w:val="ro-RO"/>
        </w:rPr>
      </w:pPr>
    </w:p>
    <w:p w:rsidR="00513593" w:rsidRPr="00866277" w:rsidRDefault="00513593" w:rsidP="00C93FA4">
      <w:pPr>
        <w:ind w:firstLine="720"/>
        <w:jc w:val="both"/>
        <w:rPr>
          <w:lang w:val="ro-MD"/>
        </w:rPr>
      </w:pPr>
      <w:proofErr w:type="spellStart"/>
      <w:r w:rsidRPr="00866277">
        <w:rPr>
          <w:lang w:val="ro-MD"/>
        </w:rPr>
        <w:t>Subacțiunea</w:t>
      </w:r>
      <w:proofErr w:type="spellEnd"/>
      <w:r w:rsidRPr="00866277">
        <w:rPr>
          <w:lang w:val="ro-MD"/>
        </w:rPr>
        <w:t xml:space="preserve"> prevăzută la </w:t>
      </w:r>
      <w:r w:rsidRPr="00866277">
        <w:rPr>
          <w:b/>
          <w:lang w:val="ro-MD"/>
        </w:rPr>
        <w:t>pct.1.2.3</w:t>
      </w:r>
      <w:r w:rsidRPr="00866277">
        <w:rPr>
          <w:lang w:val="ro-MD"/>
        </w:rPr>
        <w:t xml:space="preserve"> din Planul de acțiuni și anume r</w:t>
      </w:r>
      <w:r w:rsidR="00033309" w:rsidRPr="00866277">
        <w:rPr>
          <w:lang w:val="ro-MD"/>
        </w:rPr>
        <w:t>evizuirea cadrului normativ în domeniul materialelor de construcții în conformitate cu prevederile Legii nr.7 din 26 februarie 2016 privind supravegherea pieței în ceea ce privește comercializarea produselor nealimentare</w:t>
      </w:r>
      <w:r w:rsidRPr="00866277">
        <w:rPr>
          <w:lang w:val="ro-MD"/>
        </w:rPr>
        <w:t xml:space="preserve"> a fost </w:t>
      </w:r>
      <w:proofErr w:type="spellStart"/>
      <w:r w:rsidRPr="00866277">
        <w:rPr>
          <w:lang w:val="ro-MD"/>
        </w:rPr>
        <w:t>exeutată</w:t>
      </w:r>
      <w:proofErr w:type="spellEnd"/>
      <w:r w:rsidRPr="00866277">
        <w:rPr>
          <w:lang w:val="ro-MD"/>
        </w:rPr>
        <w:t xml:space="preserve"> de către Ministerul Economiei și Infrastructurii prin următoarele măsuri. </w:t>
      </w:r>
      <w:r w:rsidR="00F05755" w:rsidRPr="00866277">
        <w:rPr>
          <w:lang w:val="ro-MD"/>
        </w:rPr>
        <w:t>P</w:t>
      </w:r>
      <w:r w:rsidRPr="00866277">
        <w:rPr>
          <w:lang w:val="ro-MD"/>
        </w:rPr>
        <w:t>rin</w:t>
      </w:r>
      <w:r w:rsidR="00F05755" w:rsidRPr="00866277">
        <w:rPr>
          <w:lang w:val="ro-MD"/>
        </w:rPr>
        <w:t xml:space="preserve"> </w:t>
      </w:r>
      <w:r w:rsidRPr="00866277">
        <w:rPr>
          <w:lang w:val="ro-MD"/>
        </w:rPr>
        <w:t>ordinul MEI nr. 380 din 31.07.2018 (Monitorul Oficial nr.336-346/1315 din 07.09.2018)</w:t>
      </w:r>
      <w:r w:rsidR="00F05755" w:rsidRPr="00866277">
        <w:rPr>
          <w:lang w:val="ro-MD"/>
        </w:rPr>
        <w:t xml:space="preserve"> a fost aprobată</w:t>
      </w:r>
      <w:r w:rsidRPr="00866277">
        <w:rPr>
          <w:lang w:val="ro-MD"/>
        </w:rPr>
        <w:t xml:space="preserve"> </w:t>
      </w:r>
      <w:r w:rsidRPr="00866277">
        <w:rPr>
          <w:i/>
          <w:lang w:val="ro-MD"/>
        </w:rPr>
        <w:t>Lista standardelor armonizate la Reglementarea tehnică cu privire la cerințele minime pentru comercializarea produselor pentru construcții</w:t>
      </w:r>
      <w:r w:rsidRPr="00866277">
        <w:rPr>
          <w:lang w:val="ro-MD"/>
        </w:rPr>
        <w:t xml:space="preserve"> (</w:t>
      </w:r>
      <w:r w:rsidR="00AB4F87" w:rsidRPr="00866277">
        <w:rPr>
          <w:lang w:val="ro-MD"/>
        </w:rPr>
        <w:t xml:space="preserve">aprobată prin </w:t>
      </w:r>
      <w:proofErr w:type="spellStart"/>
      <w:r w:rsidR="00AB4F87" w:rsidRPr="00866277">
        <w:rPr>
          <w:lang w:val="ro-MD"/>
        </w:rPr>
        <w:t>Hotărîrea</w:t>
      </w:r>
      <w:proofErr w:type="spellEnd"/>
      <w:r w:rsidR="00AB4F87" w:rsidRPr="00866277">
        <w:rPr>
          <w:lang w:val="ro-MD"/>
        </w:rPr>
        <w:t xml:space="preserve"> Guvernului </w:t>
      </w:r>
      <w:r w:rsidRPr="00866277">
        <w:rPr>
          <w:lang w:val="ro-MD"/>
        </w:rPr>
        <w:t>nr. 913</w:t>
      </w:r>
      <w:r w:rsidR="00F70738">
        <w:rPr>
          <w:lang w:val="ro-MD"/>
        </w:rPr>
        <w:t>/</w:t>
      </w:r>
      <w:r w:rsidRPr="00866277">
        <w:rPr>
          <w:lang w:val="ro-MD"/>
        </w:rPr>
        <w:t>2016) în număr de 444 standarde europene.</w:t>
      </w:r>
      <w:r w:rsidR="00F05755" w:rsidRPr="00866277">
        <w:rPr>
          <w:lang w:val="ro-MD"/>
        </w:rPr>
        <w:t xml:space="preserve"> </w:t>
      </w:r>
      <w:r w:rsidRPr="00866277">
        <w:rPr>
          <w:lang w:val="ro-MD"/>
        </w:rPr>
        <w:t xml:space="preserve">De asemenea, </w:t>
      </w:r>
      <w:r w:rsidR="00813321" w:rsidRPr="00866277">
        <w:rPr>
          <w:lang w:val="ro-MD"/>
        </w:rPr>
        <w:t>prin ordinul MEI nr.</w:t>
      </w:r>
      <w:r w:rsidRPr="00866277">
        <w:rPr>
          <w:lang w:val="ro-MD"/>
        </w:rPr>
        <w:t xml:space="preserve">586 din 12.12.2018 (Monitorul Oficial nr.499-503/1795 din 21.12.2018) </w:t>
      </w:r>
      <w:r w:rsidR="00F05755" w:rsidRPr="00866277">
        <w:rPr>
          <w:lang w:val="ro-MD"/>
        </w:rPr>
        <w:t xml:space="preserve">a fost aprobat </w:t>
      </w:r>
      <w:r w:rsidR="00F05755" w:rsidRPr="00866277">
        <w:rPr>
          <w:i/>
          <w:lang w:val="ro-MD"/>
        </w:rPr>
        <w:t>C</w:t>
      </w:r>
      <w:r w:rsidRPr="00866277">
        <w:rPr>
          <w:i/>
          <w:lang w:val="ro-MD"/>
        </w:rPr>
        <w:t>odul practic în construcții CP H.04.04:2018 „Beton. Specificație, performanță și conformitate”</w:t>
      </w:r>
      <w:r w:rsidRPr="00866277">
        <w:rPr>
          <w:lang w:val="ro-MD"/>
        </w:rPr>
        <w:t>.</w:t>
      </w:r>
    </w:p>
    <w:p w:rsidR="00033309" w:rsidRPr="00866277" w:rsidRDefault="00033309" w:rsidP="00A7575C">
      <w:pPr>
        <w:ind w:firstLine="720"/>
        <w:jc w:val="both"/>
        <w:rPr>
          <w:bCs/>
          <w:lang w:val="ro-RO"/>
        </w:rPr>
      </w:pPr>
    </w:p>
    <w:p w:rsidR="00F44D2B" w:rsidRPr="00866277" w:rsidRDefault="00BF4E44">
      <w:pPr>
        <w:ind w:firstLine="720"/>
        <w:jc w:val="both"/>
        <w:rPr>
          <w:lang w:val="ro-RO"/>
        </w:rPr>
      </w:pPr>
      <w:r w:rsidRPr="00866277">
        <w:rPr>
          <w:lang w:val="ro-RO"/>
        </w:rPr>
        <w:t>Acțiunile autorităților de supraveghere a pieței (</w:t>
      </w:r>
      <w:r w:rsidR="008B36F0" w:rsidRPr="00866277">
        <w:rPr>
          <w:lang w:val="ro-RO" w:eastAsia="ro-RO" w:bidi="ro-RO"/>
        </w:rPr>
        <w:t>APCSP</w:t>
      </w:r>
      <w:r w:rsidRPr="00866277">
        <w:rPr>
          <w:lang w:val="ro-RO"/>
        </w:rPr>
        <w:t xml:space="preserve"> și </w:t>
      </w:r>
      <w:r w:rsidR="008B36F0" w:rsidRPr="00866277">
        <w:rPr>
          <w:lang w:val="ro-RO" w:eastAsia="ro-RO" w:bidi="ro-RO"/>
        </w:rPr>
        <w:t>AST</w:t>
      </w:r>
      <w:r w:rsidRPr="00866277">
        <w:rPr>
          <w:lang w:val="ro-RO"/>
        </w:rPr>
        <w:t xml:space="preserve">) </w:t>
      </w:r>
      <w:r w:rsidR="008501F3" w:rsidRPr="00866277">
        <w:rPr>
          <w:lang w:val="ro-RO"/>
        </w:rPr>
        <w:t>în cadrul asigurării</w:t>
      </w:r>
      <w:r w:rsidRPr="00866277">
        <w:rPr>
          <w:lang w:val="ro-RO"/>
        </w:rPr>
        <w:t xml:space="preserve"> funcționării </w:t>
      </w:r>
      <w:r w:rsidRPr="00866277">
        <w:rPr>
          <w:i/>
          <w:u w:val="single"/>
          <w:lang w:val="ro-RO"/>
        </w:rPr>
        <w:t>Sistemului de schimb rapid de informații privind produsele periculoase între autoritățile de supraveghere a pieței la nivel național</w:t>
      </w:r>
      <w:r w:rsidRPr="00866277">
        <w:rPr>
          <w:rFonts w:eastAsia="Times New Roman"/>
          <w:bCs/>
          <w:lang w:val="ro-RO"/>
        </w:rPr>
        <w:t xml:space="preserve"> (</w:t>
      </w:r>
      <w:r w:rsidRPr="00866277">
        <w:rPr>
          <w:b/>
          <w:bCs/>
          <w:iCs/>
          <w:lang w:val="ro-RO" w:eastAsia="ru-RU"/>
        </w:rPr>
        <w:t>pct.</w:t>
      </w:r>
      <w:r w:rsidRPr="00866277">
        <w:rPr>
          <w:lang w:val="ro-RO"/>
        </w:rPr>
        <w:t xml:space="preserve"> </w:t>
      </w:r>
      <w:r w:rsidRPr="00866277">
        <w:rPr>
          <w:b/>
          <w:lang w:val="ro-RO"/>
        </w:rPr>
        <w:t>1.2.4</w:t>
      </w:r>
      <w:r w:rsidRPr="00866277">
        <w:rPr>
          <w:rFonts w:eastAsia="Times New Roman"/>
          <w:bCs/>
          <w:lang w:val="ro-RO"/>
        </w:rPr>
        <w:t>),</w:t>
      </w:r>
      <w:r w:rsidRPr="00866277">
        <w:rPr>
          <w:lang w:val="ro-RO"/>
        </w:rPr>
        <w:t xml:space="preserve"> creat în temeiul Hotărârii Guvernului nr. 1116</w:t>
      </w:r>
      <w:r w:rsidR="008501F3" w:rsidRPr="00866277">
        <w:rPr>
          <w:lang w:val="ro-RO"/>
        </w:rPr>
        <w:t>/</w:t>
      </w:r>
      <w:r w:rsidRPr="00866277">
        <w:rPr>
          <w:lang w:val="ro-RO"/>
        </w:rPr>
        <w:t>2016</w:t>
      </w:r>
      <w:r w:rsidR="000A034C" w:rsidRPr="00866277">
        <w:rPr>
          <w:lang w:val="ro-RO"/>
        </w:rPr>
        <w:t>,</w:t>
      </w:r>
      <w:r w:rsidRPr="00866277">
        <w:rPr>
          <w:lang w:val="ro-RO"/>
        </w:rPr>
        <w:t xml:space="preserve"> pe parcursul perioadei de raportate s</w:t>
      </w:r>
      <w:r w:rsidR="008501F3" w:rsidRPr="00866277">
        <w:rPr>
          <w:lang w:val="ro-RO"/>
        </w:rPr>
        <w:t>-a</w:t>
      </w:r>
      <w:r w:rsidR="000A034C" w:rsidRPr="00866277">
        <w:rPr>
          <w:lang w:val="ro-RO"/>
        </w:rPr>
        <w:t>u</w:t>
      </w:r>
      <w:r w:rsidR="008501F3" w:rsidRPr="00866277">
        <w:rPr>
          <w:lang w:val="ro-RO"/>
        </w:rPr>
        <w:t xml:space="preserve"> axat pe desemnarea</w:t>
      </w:r>
      <w:r w:rsidR="00031C39" w:rsidRPr="00866277">
        <w:rPr>
          <w:lang w:val="ro-RO"/>
        </w:rPr>
        <w:t xml:space="preserve"> și instruirea </w:t>
      </w:r>
      <w:r w:rsidR="008501F3" w:rsidRPr="00866277">
        <w:rPr>
          <w:lang w:val="ro-RO"/>
        </w:rPr>
        <w:t>persoanelor responsabile de punerea în aplicare a hotărârii menționate.</w:t>
      </w:r>
      <w:r w:rsidRPr="00866277">
        <w:rPr>
          <w:rFonts w:eastAsia="Times New Roman"/>
          <w:bCs/>
          <w:lang w:val="ro-RO"/>
        </w:rPr>
        <w:t xml:space="preserve"> </w:t>
      </w:r>
    </w:p>
    <w:p w:rsidR="00B03930" w:rsidRPr="00866277" w:rsidRDefault="008501F3" w:rsidP="00993129">
      <w:pPr>
        <w:ind w:firstLine="720"/>
        <w:jc w:val="both"/>
        <w:rPr>
          <w:lang w:val="ro-RO"/>
        </w:rPr>
      </w:pPr>
      <w:r w:rsidRPr="00866277">
        <w:rPr>
          <w:lang w:val="ro-RO"/>
        </w:rPr>
        <w:t>Notificări</w:t>
      </w:r>
      <w:r w:rsidR="00031C39" w:rsidRPr="00866277">
        <w:rPr>
          <w:lang w:val="ro-RO"/>
        </w:rPr>
        <w:t xml:space="preserve"> privind constatarea unor produse</w:t>
      </w:r>
      <w:r w:rsidRPr="00866277">
        <w:rPr>
          <w:lang w:val="ro-RO"/>
        </w:rPr>
        <w:t xml:space="preserve"> </w:t>
      </w:r>
      <w:r w:rsidR="00F44D2B" w:rsidRPr="00866277">
        <w:rPr>
          <w:lang w:val="ro-RO"/>
        </w:rPr>
        <w:t xml:space="preserve">periculoase sau </w:t>
      </w:r>
      <w:r w:rsidR="000A034C" w:rsidRPr="00866277">
        <w:rPr>
          <w:lang w:val="ro-RO"/>
        </w:rPr>
        <w:t xml:space="preserve">cu </w:t>
      </w:r>
      <w:r w:rsidR="00F44D2B" w:rsidRPr="00866277">
        <w:rPr>
          <w:lang w:val="ro-RO"/>
        </w:rPr>
        <w:t xml:space="preserve">grad înalt de risc </w:t>
      </w:r>
      <w:r w:rsidR="000605A1" w:rsidRPr="00866277">
        <w:rPr>
          <w:lang w:val="ro-RO"/>
        </w:rPr>
        <w:t xml:space="preserve">din partea autorităților de control </w:t>
      </w:r>
      <w:r w:rsidRPr="00866277">
        <w:rPr>
          <w:lang w:val="ro-RO"/>
        </w:rPr>
        <w:t>prin Sistem nu au fost transmise.</w:t>
      </w:r>
      <w:r w:rsidR="000605A1" w:rsidRPr="00866277">
        <w:rPr>
          <w:lang w:val="ro-RO"/>
        </w:rPr>
        <w:t xml:space="preserve"> </w:t>
      </w:r>
      <w:r w:rsidR="00B03930" w:rsidRPr="00866277">
        <w:rPr>
          <w:lang w:val="ro-RO"/>
        </w:rPr>
        <w:t>Cu toate acestea</w:t>
      </w:r>
      <w:r w:rsidR="00993129" w:rsidRPr="00866277">
        <w:rPr>
          <w:lang w:val="ro-RO"/>
        </w:rPr>
        <w:t>,</w:t>
      </w:r>
      <w:r w:rsidR="00B03930" w:rsidRPr="00866277">
        <w:rPr>
          <w:lang w:val="ro-RO"/>
        </w:rPr>
        <w:t xml:space="preserve"> p</w:t>
      </w:r>
      <w:r w:rsidRPr="00866277">
        <w:rPr>
          <w:lang w:val="ro-RO"/>
        </w:rPr>
        <w:t>utem menționa faptul c</w:t>
      </w:r>
      <w:r w:rsidR="00031E88" w:rsidRPr="00866277">
        <w:rPr>
          <w:lang w:val="ro-RO"/>
        </w:rPr>
        <w:t>ă,</w:t>
      </w:r>
      <w:r w:rsidRPr="00866277">
        <w:rPr>
          <w:lang w:val="ro-RO"/>
        </w:rPr>
        <w:t xml:space="preserve"> </w:t>
      </w:r>
      <w:r w:rsidR="00B03930" w:rsidRPr="00866277">
        <w:rPr>
          <w:lang w:val="ro-RO"/>
        </w:rPr>
        <w:t>în scopul supravegherii metrologice și monitorizării mijloacelor de măsurare introduse/puse la dispoziție pe piață, APCSP a adresat Serviciului Vamal o interpelare privind informarea despre importatori, mijloacele de măsurare importate.</w:t>
      </w:r>
    </w:p>
    <w:p w:rsidR="00B03930" w:rsidRPr="00866277" w:rsidRDefault="00B03930" w:rsidP="00993129">
      <w:pPr>
        <w:ind w:firstLine="720"/>
        <w:jc w:val="both"/>
        <w:rPr>
          <w:lang w:val="ro-RO"/>
        </w:rPr>
      </w:pPr>
      <w:r w:rsidRPr="00866277">
        <w:rPr>
          <w:lang w:val="ro-RO"/>
        </w:rPr>
        <w:t xml:space="preserve">Serviciul Vamal a prezentat informația solicitată, utilizată în procesul de evaluare a riscurilor. </w:t>
      </w:r>
    </w:p>
    <w:p w:rsidR="006C4982" w:rsidRPr="00866277" w:rsidRDefault="00AD7B89">
      <w:pPr>
        <w:ind w:firstLine="720"/>
        <w:jc w:val="both"/>
        <w:rPr>
          <w:lang w:val="ro-RO"/>
        </w:rPr>
      </w:pPr>
      <w:r w:rsidRPr="00866277">
        <w:rPr>
          <w:lang w:val="ro-RO"/>
        </w:rPr>
        <w:t>Totodată, menționăm că</w:t>
      </w:r>
      <w:r w:rsidR="00993129" w:rsidRPr="00866277">
        <w:rPr>
          <w:lang w:val="ro-RO"/>
        </w:rPr>
        <w:t>,</w:t>
      </w:r>
      <w:r w:rsidRPr="00866277">
        <w:rPr>
          <w:lang w:val="ro-RO"/>
        </w:rPr>
        <w:t xml:space="preserve"> </w:t>
      </w:r>
      <w:proofErr w:type="spellStart"/>
      <w:r w:rsidRPr="00866277">
        <w:rPr>
          <w:lang w:val="ro-RO"/>
        </w:rPr>
        <w:t>cît</w:t>
      </w:r>
      <w:proofErr w:type="spellEnd"/>
      <w:r w:rsidRPr="00866277">
        <w:rPr>
          <w:lang w:val="ro-RO"/>
        </w:rPr>
        <w:t xml:space="preserve"> pri</w:t>
      </w:r>
      <w:r w:rsidR="00B03930" w:rsidRPr="00866277">
        <w:rPr>
          <w:lang w:val="ro-RO"/>
        </w:rPr>
        <w:t>vește schimbul rapid de informații privind produsele periculoase între autoritățile de supraveghere a pieței la nivel internațional, conform prevederilor HG nr. 1116/2016, APCSP plasează pe pagina sa web, informațiile primite despre produsele periculoase. Astfel, pe parcursul anului, de la un importator din România (</w:t>
      </w:r>
      <w:r w:rsidR="00B03930" w:rsidRPr="00866277">
        <w:rPr>
          <w:i/>
          <w:lang w:val="ro-RO"/>
        </w:rPr>
        <w:t>Henkel Romania SRL, producător Mc  BRIDE SA</w:t>
      </w:r>
      <w:r w:rsidR="00B03930" w:rsidRPr="00866277">
        <w:rPr>
          <w:lang w:val="ro-RO"/>
        </w:rPr>
        <w:t>), a parvenit o informație despre 2 produse  chimice periculoase (</w:t>
      </w:r>
      <w:r w:rsidR="00B03930" w:rsidRPr="00866277">
        <w:rPr>
          <w:i/>
          <w:lang w:val="ro-RO"/>
        </w:rPr>
        <w:t>CERESIT Stop Mucegaiului pentru Baie 500ml</w:t>
      </w:r>
      <w:r w:rsidR="00B03930" w:rsidRPr="00866277">
        <w:rPr>
          <w:lang w:val="ro-RO"/>
        </w:rPr>
        <w:t>;</w:t>
      </w:r>
      <w:r w:rsidR="00F70738">
        <w:rPr>
          <w:lang w:val="ro-RO"/>
        </w:rPr>
        <w:t xml:space="preserve"> </w:t>
      </w:r>
      <w:r w:rsidR="00B03930" w:rsidRPr="00866277">
        <w:rPr>
          <w:i/>
          <w:lang w:val="ro-RO"/>
        </w:rPr>
        <w:t xml:space="preserve">CERESIT </w:t>
      </w:r>
      <w:proofErr w:type="spellStart"/>
      <w:r w:rsidR="00B03930" w:rsidRPr="00866277">
        <w:rPr>
          <w:i/>
          <w:lang w:val="ro-RO"/>
        </w:rPr>
        <w:t>StopMucegaiului</w:t>
      </w:r>
      <w:proofErr w:type="spellEnd"/>
      <w:r w:rsidR="00B03930" w:rsidRPr="00866277">
        <w:rPr>
          <w:i/>
          <w:lang w:val="ro-RO"/>
        </w:rPr>
        <w:t xml:space="preserve"> </w:t>
      </w:r>
      <w:proofErr w:type="spellStart"/>
      <w:r w:rsidR="00B03930" w:rsidRPr="00866277">
        <w:rPr>
          <w:i/>
          <w:lang w:val="ro-RO"/>
        </w:rPr>
        <w:t>All</w:t>
      </w:r>
      <w:proofErr w:type="spellEnd"/>
      <w:r w:rsidR="00B03930" w:rsidRPr="00866277">
        <w:rPr>
          <w:i/>
          <w:lang w:val="ro-RO"/>
        </w:rPr>
        <w:t xml:space="preserve"> in </w:t>
      </w:r>
      <w:proofErr w:type="spellStart"/>
      <w:r w:rsidR="00B03930" w:rsidRPr="00866277">
        <w:rPr>
          <w:i/>
          <w:lang w:val="ro-RO"/>
        </w:rPr>
        <w:t>One</w:t>
      </w:r>
      <w:proofErr w:type="spellEnd"/>
      <w:r w:rsidR="00B03930" w:rsidRPr="00866277">
        <w:rPr>
          <w:i/>
          <w:lang w:val="ro-RO"/>
        </w:rPr>
        <w:t xml:space="preserve"> 500ml</w:t>
      </w:r>
      <w:r w:rsidR="00B03930" w:rsidRPr="00866277">
        <w:rPr>
          <w:lang w:val="ro-RO"/>
        </w:rPr>
        <w:t xml:space="preserve">). </w:t>
      </w:r>
      <w:r w:rsidR="006C4982" w:rsidRPr="00866277">
        <w:rPr>
          <w:lang w:val="ro-RO"/>
        </w:rPr>
        <w:t>prin urmare, i</w:t>
      </w:r>
      <w:r w:rsidR="00B03930" w:rsidRPr="00866277">
        <w:rPr>
          <w:lang w:val="ro-RO"/>
        </w:rPr>
        <w:t>nformația importatorului, cu privire la lansarea campaniei proprii de retragere de pe piața RM, în cazul existenței acestor produse, este plasată pe pagina web a Agenției.</w:t>
      </w:r>
    </w:p>
    <w:p w:rsidR="00B03930" w:rsidRPr="00866277" w:rsidRDefault="006C4982">
      <w:pPr>
        <w:ind w:firstLine="720"/>
        <w:jc w:val="both"/>
        <w:rPr>
          <w:lang w:val="ro-RO"/>
        </w:rPr>
      </w:pPr>
      <w:r w:rsidRPr="00866277">
        <w:rPr>
          <w:lang w:val="ro-RO"/>
        </w:rPr>
        <w:t>În general, c</w:t>
      </w:r>
      <w:r w:rsidR="00B03930" w:rsidRPr="00866277">
        <w:rPr>
          <w:lang w:val="ro-RO"/>
        </w:rPr>
        <w:t>onsumatorii sunt informați cu privire la un potențial risc în privința acestor produse, modul de identificare și returnare, recomandări pentru produsele, care se află în utilizare.</w:t>
      </w:r>
    </w:p>
    <w:p w:rsidR="00606E25" w:rsidRPr="00866277" w:rsidRDefault="006C4982" w:rsidP="00033309">
      <w:pPr>
        <w:ind w:firstLine="720"/>
        <w:jc w:val="both"/>
        <w:rPr>
          <w:lang w:val="ro-RO"/>
        </w:rPr>
      </w:pPr>
      <w:r w:rsidRPr="00866277">
        <w:rPr>
          <w:bCs/>
          <w:lang w:val="ro-RO"/>
        </w:rPr>
        <w:t>Suplimentar, pe</w:t>
      </w:r>
      <w:r w:rsidR="00606E25" w:rsidRPr="00866277">
        <w:rPr>
          <w:lang w:val="ro-RO"/>
        </w:rPr>
        <w:t xml:space="preserve"> parcursul anului 2019 de către Ministerul </w:t>
      </w:r>
      <w:proofErr w:type="spellStart"/>
      <w:r w:rsidR="00606E25" w:rsidRPr="00866277">
        <w:rPr>
          <w:lang w:val="ro-RO"/>
        </w:rPr>
        <w:t>Sănătăţii</w:t>
      </w:r>
      <w:proofErr w:type="spellEnd"/>
      <w:r w:rsidR="00606E25" w:rsidRPr="00866277">
        <w:rPr>
          <w:lang w:val="ro-RO"/>
        </w:rPr>
        <w:t>, Muncii și Protecției Sociale au fost semnalate 3 notificări în sistemul RASFF:</w:t>
      </w:r>
    </w:p>
    <w:p w:rsidR="00606E25" w:rsidRPr="00866277" w:rsidRDefault="00606E25" w:rsidP="00033309">
      <w:pPr>
        <w:pStyle w:val="ListParagraph"/>
        <w:numPr>
          <w:ilvl w:val="0"/>
          <w:numId w:val="20"/>
        </w:numPr>
        <w:spacing w:after="0"/>
        <w:ind w:left="0" w:firstLine="720"/>
        <w:contextualSpacing w:val="0"/>
        <w:jc w:val="both"/>
        <w:rPr>
          <w:sz w:val="24"/>
          <w:szCs w:val="24"/>
          <w:lang w:val="ro-RO"/>
        </w:rPr>
      </w:pPr>
      <w:r w:rsidRPr="00866277">
        <w:rPr>
          <w:rFonts w:ascii="Times New Roman" w:hAnsi="Times New Roman"/>
          <w:sz w:val="24"/>
          <w:szCs w:val="24"/>
          <w:lang w:val="ro-RO"/>
        </w:rPr>
        <w:t>1 notificare - hrană pentru copii;</w:t>
      </w:r>
    </w:p>
    <w:p w:rsidR="00606E25" w:rsidRPr="00866277" w:rsidRDefault="00606E25" w:rsidP="00033309">
      <w:pPr>
        <w:pStyle w:val="ListParagraph"/>
        <w:numPr>
          <w:ilvl w:val="0"/>
          <w:numId w:val="20"/>
        </w:numPr>
        <w:spacing w:after="0"/>
        <w:ind w:left="0" w:firstLine="720"/>
        <w:contextualSpacing w:val="0"/>
        <w:jc w:val="both"/>
        <w:rPr>
          <w:sz w:val="24"/>
          <w:szCs w:val="24"/>
          <w:lang w:val="ro-RO"/>
        </w:rPr>
      </w:pPr>
      <w:r w:rsidRPr="00866277">
        <w:rPr>
          <w:rFonts w:ascii="Times New Roman" w:hAnsi="Times New Roman"/>
          <w:sz w:val="24"/>
          <w:szCs w:val="24"/>
          <w:lang w:val="ro-RO"/>
        </w:rPr>
        <w:t>2 notificări - materiale care vin în contact cu produsele alimentare (veselă, articole folosite în bucătărie).</w:t>
      </w:r>
    </w:p>
    <w:p w:rsidR="00606E25" w:rsidRPr="00866277" w:rsidRDefault="00606E25">
      <w:pPr>
        <w:ind w:firstLine="720"/>
        <w:jc w:val="both"/>
        <w:rPr>
          <w:lang w:val="ro-RO"/>
        </w:rPr>
      </w:pPr>
      <w:r w:rsidRPr="00866277">
        <w:rPr>
          <w:lang w:val="ro-RO"/>
        </w:rPr>
        <w:t>Pentru 2 loturi de produse periculoase constatate (veselă din bambus, polonice) au fost emise hotărâri de interzicere.</w:t>
      </w:r>
    </w:p>
    <w:p w:rsidR="00033309" w:rsidRPr="00866277" w:rsidRDefault="00033309">
      <w:pPr>
        <w:ind w:firstLine="720"/>
        <w:jc w:val="both"/>
        <w:rPr>
          <w:lang w:val="ro-RO"/>
        </w:rPr>
      </w:pPr>
    </w:p>
    <w:p w:rsidR="00DF7B5C" w:rsidRPr="00866277" w:rsidRDefault="00DF7B5C" w:rsidP="00103908">
      <w:pPr>
        <w:ind w:firstLine="720"/>
        <w:jc w:val="both"/>
        <w:rPr>
          <w:lang w:val="ro-RO"/>
        </w:rPr>
      </w:pPr>
      <w:r w:rsidRPr="00866277">
        <w:rPr>
          <w:lang w:val="ro-RO"/>
        </w:rPr>
        <w:lastRenderedPageBreak/>
        <w:t xml:space="preserve">Pe parcursul anului 2019, în vederea respectării cerințelor cu privire la etichetarea energetică și a legislației cu privire la </w:t>
      </w:r>
      <w:proofErr w:type="spellStart"/>
      <w:r w:rsidRPr="00866277">
        <w:rPr>
          <w:lang w:val="ro-RO"/>
        </w:rPr>
        <w:t>cerinţele</w:t>
      </w:r>
      <w:proofErr w:type="spellEnd"/>
      <w:r w:rsidRPr="00866277">
        <w:rPr>
          <w:lang w:val="ro-RO"/>
        </w:rPr>
        <w:t xml:space="preserve"> aplicabile produselor cu impact energetic (</w:t>
      </w:r>
      <w:r w:rsidRPr="00866277">
        <w:rPr>
          <w:b/>
          <w:bCs/>
          <w:iCs/>
          <w:lang w:val="ro-RO" w:eastAsia="ru-RU"/>
        </w:rPr>
        <w:t>pct.</w:t>
      </w:r>
      <w:r w:rsidRPr="00866277">
        <w:rPr>
          <w:rFonts w:eastAsia="Times New Roman"/>
          <w:b/>
          <w:bCs/>
          <w:lang w:val="ro-RO"/>
        </w:rPr>
        <w:t>1.2.6</w:t>
      </w:r>
      <w:r w:rsidR="00F70738">
        <w:rPr>
          <w:rFonts w:eastAsia="Times New Roman"/>
          <w:b/>
          <w:bCs/>
          <w:lang w:val="ro-RO"/>
        </w:rPr>
        <w:t>.</w:t>
      </w:r>
      <w:r w:rsidRPr="00866277">
        <w:rPr>
          <w:lang w:val="ro-RO"/>
        </w:rPr>
        <w:t>), APCSP a efectuat 37 controale</w:t>
      </w:r>
      <w:r w:rsidRPr="00866277">
        <w:rPr>
          <w:b/>
          <w:lang w:val="ro-RO"/>
        </w:rPr>
        <w:t xml:space="preserve"> </w:t>
      </w:r>
      <w:r w:rsidRPr="00866277">
        <w:rPr>
          <w:lang w:val="ro-RO"/>
        </w:rPr>
        <w:t>asupra produselor cu impact energetic. În cadrul controalelor a fost verificată marcarea/ etichetarea energetică, instrucțiunile de utilizare a mai multor tipuri de produse cu impact energetic, indicii de calitate ale acestora.</w:t>
      </w:r>
      <w:r w:rsidR="00103908">
        <w:rPr>
          <w:lang w:val="ro-RO"/>
        </w:rPr>
        <w:t xml:space="preserve"> </w:t>
      </w:r>
      <w:r w:rsidRPr="00866277">
        <w:rPr>
          <w:lang w:val="ro-RO"/>
        </w:rPr>
        <w:t>Au fost verificate 171 produse, din care 168 neconforme cerințelor generale (lipsa instrucțiunilor de utilizare, lipsa informație în limba de stat, etc.).</w:t>
      </w:r>
    </w:p>
    <w:p w:rsidR="00DF7B5C" w:rsidRPr="00866277" w:rsidRDefault="00DF7B5C" w:rsidP="00103908">
      <w:pPr>
        <w:ind w:firstLine="720"/>
        <w:jc w:val="both"/>
        <w:rPr>
          <w:lang w:val="ro-RO"/>
        </w:rPr>
      </w:pPr>
      <w:r w:rsidRPr="00866277">
        <w:rPr>
          <w:lang w:val="ro-RO"/>
        </w:rPr>
        <w:t>Sub aspectul corespunderii parametrilor tehnici declarați, la locul controlului au fost examinate/ testate 30 produse, din care 8 loturi, în număr de 524 unități (ghirlande decorative) aveau lungimea cablului necorespunzătoare. A fost emisă prescripție de interzicere a punerii la dispoziție pe piață. Referitor la eticheta aplicată pe produsele cu impact energetic plasate pe piață neconformități nu s-au depistat</w:t>
      </w:r>
      <w:r w:rsidR="00103908">
        <w:rPr>
          <w:lang w:val="ro-RO"/>
        </w:rPr>
        <w:t>.</w:t>
      </w:r>
    </w:p>
    <w:p w:rsidR="00DF7B5C" w:rsidRPr="00866277" w:rsidRDefault="00DF7B5C" w:rsidP="005F641F">
      <w:pPr>
        <w:ind w:firstLine="720"/>
        <w:jc w:val="both"/>
        <w:rPr>
          <w:lang w:val="ro-RO"/>
        </w:rPr>
      </w:pPr>
    </w:p>
    <w:p w:rsidR="008F6B8E" w:rsidRPr="00866277" w:rsidRDefault="00CD44F6">
      <w:pPr>
        <w:ind w:firstLine="720"/>
        <w:jc w:val="both"/>
        <w:rPr>
          <w:b/>
          <w:lang w:val="ro-RO"/>
        </w:rPr>
      </w:pPr>
      <w:r w:rsidRPr="00866277">
        <w:rPr>
          <w:lang w:val="ro-RO"/>
        </w:rPr>
        <w:t>Cu referire la acțiun</w:t>
      </w:r>
      <w:r w:rsidR="008F6B8E" w:rsidRPr="00866277">
        <w:rPr>
          <w:lang w:val="ro-RO"/>
        </w:rPr>
        <w:t xml:space="preserve">ea de </w:t>
      </w:r>
      <w:r w:rsidR="008F6B8E" w:rsidRPr="00866277">
        <w:rPr>
          <w:i/>
          <w:u w:val="single"/>
          <w:lang w:val="ro-RO"/>
        </w:rPr>
        <w:t>asigurare a controlului asupra produselor de biocombustibil solid</w:t>
      </w:r>
      <w:r w:rsidR="008F6B8E" w:rsidRPr="00866277" w:rsidDel="008F6B8E">
        <w:rPr>
          <w:lang w:val="ro-RO"/>
        </w:rPr>
        <w:t xml:space="preserve"> </w:t>
      </w:r>
      <w:r w:rsidR="008F6B8E" w:rsidRPr="00866277">
        <w:rPr>
          <w:lang w:val="ro-RO"/>
        </w:rPr>
        <w:t>(</w:t>
      </w:r>
      <w:r w:rsidR="008F6B8E" w:rsidRPr="00866277">
        <w:rPr>
          <w:b/>
          <w:lang w:val="ro-RO"/>
        </w:rPr>
        <w:t>pct.1.2.7</w:t>
      </w:r>
      <w:r w:rsidR="008F6B8E" w:rsidRPr="00866277">
        <w:rPr>
          <w:lang w:val="ro-RO"/>
        </w:rPr>
        <w:t>), de către APCSP au fost efectuate 2 controale privind conformitatea combustibilului solid, unde au fost controlate 2460 unități de ambalaj (saci). În cadrul unui control au fost depistate neconformități cu privire la marcarea produselor, către 200 (8,1%) unități din total controlate, informația pe ambalaj era incompletă.</w:t>
      </w:r>
    </w:p>
    <w:p w:rsidR="008F6B8E" w:rsidRPr="00866277" w:rsidRDefault="008F6B8E" w:rsidP="005F641F">
      <w:pPr>
        <w:ind w:firstLine="720"/>
        <w:jc w:val="both"/>
        <w:rPr>
          <w:lang w:val="ro-RO"/>
        </w:rPr>
      </w:pPr>
    </w:p>
    <w:p w:rsidR="00DC7DCF" w:rsidRPr="00866277" w:rsidRDefault="000553B7" w:rsidP="005F641F">
      <w:pPr>
        <w:ind w:firstLine="720"/>
        <w:jc w:val="both"/>
        <w:rPr>
          <w:lang w:val="ro-RO"/>
        </w:rPr>
      </w:pPr>
      <w:r>
        <w:rPr>
          <w:lang w:val="ro-RO"/>
        </w:rPr>
        <w:t xml:space="preserve">Întru realizarea </w:t>
      </w:r>
      <w:r w:rsidR="001A6D88" w:rsidRPr="00866277">
        <w:rPr>
          <w:lang w:val="ro-RO"/>
        </w:rPr>
        <w:t>acțiun</w:t>
      </w:r>
      <w:r>
        <w:rPr>
          <w:lang w:val="ro-RO"/>
        </w:rPr>
        <w:t>ii</w:t>
      </w:r>
      <w:r w:rsidR="001A6D88" w:rsidRPr="00866277">
        <w:rPr>
          <w:lang w:val="ro-RO"/>
        </w:rPr>
        <w:t xml:space="preserve"> </w:t>
      </w:r>
      <w:r w:rsidR="001A6D88" w:rsidRPr="00866277">
        <w:rPr>
          <w:rFonts w:eastAsia="Times New Roman"/>
          <w:bCs/>
          <w:lang w:val="ro-RO"/>
        </w:rPr>
        <w:t>(</w:t>
      </w:r>
      <w:r w:rsidR="001A6D88" w:rsidRPr="00866277">
        <w:rPr>
          <w:b/>
          <w:bCs/>
          <w:iCs/>
          <w:lang w:val="ro-RO" w:eastAsia="ru-RU"/>
        </w:rPr>
        <w:t>pct.</w:t>
      </w:r>
      <w:r w:rsidR="001A6D88" w:rsidRPr="00866277">
        <w:rPr>
          <w:rFonts w:eastAsia="Times New Roman"/>
          <w:b/>
          <w:bCs/>
          <w:lang w:val="ro-RO"/>
        </w:rPr>
        <w:t>1.2.8</w:t>
      </w:r>
      <w:r w:rsidR="001A6D88" w:rsidRPr="00866277">
        <w:rPr>
          <w:rFonts w:eastAsia="Times New Roman"/>
          <w:bCs/>
          <w:lang w:val="ro-RO"/>
        </w:rPr>
        <w:t>)</w:t>
      </w:r>
      <w:r w:rsidR="00AE1984" w:rsidRPr="00866277">
        <w:rPr>
          <w:b/>
          <w:lang w:val="ro-RO"/>
        </w:rPr>
        <w:t xml:space="preserve"> </w:t>
      </w:r>
      <w:r w:rsidR="00AE1984" w:rsidRPr="00866277">
        <w:rPr>
          <w:i/>
          <w:lang w:val="ro-RO"/>
        </w:rPr>
        <w:t xml:space="preserve">privind asigurarea controlului privind existența </w:t>
      </w:r>
      <w:proofErr w:type="spellStart"/>
      <w:r w:rsidR="00AE1984" w:rsidRPr="00866277">
        <w:rPr>
          <w:i/>
          <w:lang w:val="ro-RO"/>
        </w:rPr>
        <w:t>şi</w:t>
      </w:r>
      <w:proofErr w:type="spellEnd"/>
      <w:r w:rsidR="00AE1984" w:rsidRPr="00866277">
        <w:rPr>
          <w:i/>
          <w:lang w:val="ro-RO"/>
        </w:rPr>
        <w:t xml:space="preserve"> aplicarea corectă a etichetei </w:t>
      </w:r>
      <w:proofErr w:type="spellStart"/>
      <w:r w:rsidR="00AE1984" w:rsidRPr="00866277">
        <w:rPr>
          <w:i/>
          <w:lang w:val="ro-RO"/>
        </w:rPr>
        <w:t>şi</w:t>
      </w:r>
      <w:proofErr w:type="spellEnd"/>
      <w:r w:rsidR="00AE1984" w:rsidRPr="00866277">
        <w:rPr>
          <w:i/>
          <w:lang w:val="ro-RO"/>
        </w:rPr>
        <w:t xml:space="preserve"> prezentarea certificatului de conformitate pentru produsele agroalimentare ecologice plasate pe piață</w:t>
      </w:r>
      <w:r w:rsidR="00AE1984" w:rsidRPr="00866277">
        <w:rPr>
          <w:lang w:val="ro-RO"/>
        </w:rPr>
        <w:t xml:space="preserve"> de către </w:t>
      </w:r>
      <w:r w:rsidR="008B36F0" w:rsidRPr="00866277">
        <w:rPr>
          <w:lang w:val="ro-RO"/>
        </w:rPr>
        <w:t>ANSA</w:t>
      </w:r>
      <w:r w:rsidR="00AE1984" w:rsidRPr="00866277">
        <w:rPr>
          <w:b/>
          <w:lang w:val="ro-RO"/>
        </w:rPr>
        <w:t xml:space="preserve"> </w:t>
      </w:r>
      <w:r w:rsidR="00AE1984" w:rsidRPr="00866277">
        <w:rPr>
          <w:lang w:val="ro-RO"/>
        </w:rPr>
        <w:t>pe parcursul anului 201</w:t>
      </w:r>
      <w:r w:rsidR="00DC7DCF" w:rsidRPr="00866277">
        <w:rPr>
          <w:lang w:val="ro-RO"/>
        </w:rPr>
        <w:t>9, conform Ordinului nr. 654 din 29</w:t>
      </w:r>
      <w:r w:rsidR="002B1E2C" w:rsidRPr="00866277">
        <w:rPr>
          <w:lang w:val="ro-RO"/>
        </w:rPr>
        <w:t xml:space="preserve"> noiembrie</w:t>
      </w:r>
      <w:r w:rsidR="00EC2A4C" w:rsidRPr="00866277">
        <w:rPr>
          <w:lang w:val="ro-RO"/>
        </w:rPr>
        <w:t xml:space="preserve"> </w:t>
      </w:r>
      <w:r w:rsidR="00DC7DCF" w:rsidRPr="00866277">
        <w:rPr>
          <w:lang w:val="ro-RO"/>
        </w:rPr>
        <w:t xml:space="preserve">2018 „Cu privire la aprobarea Planului anual al controalelor de stat pentru </w:t>
      </w:r>
      <w:r w:rsidR="002B1E2C" w:rsidRPr="00866277">
        <w:rPr>
          <w:lang w:val="ro-RO"/>
        </w:rPr>
        <w:t xml:space="preserve">anul 2019” și Ordinului nr. </w:t>
      </w:r>
      <w:r w:rsidR="00DC7DCF" w:rsidRPr="00866277">
        <w:rPr>
          <w:lang w:val="ro-RO"/>
        </w:rPr>
        <w:t xml:space="preserve">41 din 01 februarie 2019 „Cu privire la aprobarea Graficului controalelor oficiale pentru anul 2019” s-au executat </w:t>
      </w:r>
      <w:r w:rsidR="00DC7DCF" w:rsidRPr="00103908">
        <w:rPr>
          <w:u w:val="single"/>
          <w:lang w:val="ro-RO"/>
        </w:rPr>
        <w:t xml:space="preserve">16663 de controale </w:t>
      </w:r>
      <w:proofErr w:type="spellStart"/>
      <w:r w:rsidR="00DC7DCF" w:rsidRPr="00103908">
        <w:rPr>
          <w:u w:val="single"/>
          <w:lang w:val="ro-RO"/>
        </w:rPr>
        <w:t>planifìcate</w:t>
      </w:r>
      <w:proofErr w:type="spellEnd"/>
      <w:r w:rsidR="00DC7DCF" w:rsidRPr="00866277">
        <w:rPr>
          <w:lang w:val="ro-RO"/>
        </w:rPr>
        <w:t xml:space="preserve"> și </w:t>
      </w:r>
      <w:r w:rsidR="00DC7DCF" w:rsidRPr="00103908">
        <w:rPr>
          <w:u w:val="single"/>
          <w:lang w:val="ro-RO"/>
        </w:rPr>
        <w:t>6747 de controale inopinate</w:t>
      </w:r>
      <w:r w:rsidR="00DC7DCF" w:rsidRPr="00866277">
        <w:rPr>
          <w:lang w:val="ro-RO"/>
        </w:rPr>
        <w:t xml:space="preserve">. </w:t>
      </w:r>
    </w:p>
    <w:p w:rsidR="00DC7DCF" w:rsidRPr="00866277" w:rsidRDefault="00DC7DCF" w:rsidP="00DC7DCF">
      <w:pPr>
        <w:ind w:firstLine="432"/>
        <w:rPr>
          <w:lang w:val="ro-RO"/>
        </w:rPr>
      </w:pPr>
    </w:p>
    <w:p w:rsidR="0038682F" w:rsidRPr="00866277" w:rsidRDefault="000A034C" w:rsidP="0038682F">
      <w:pPr>
        <w:tabs>
          <w:tab w:val="left" w:pos="709"/>
          <w:tab w:val="left" w:pos="1152"/>
        </w:tabs>
        <w:spacing w:line="223" w:lineRule="auto"/>
        <w:ind w:firstLine="720"/>
        <w:jc w:val="both"/>
        <w:rPr>
          <w:lang w:val="ro-RO"/>
        </w:rPr>
      </w:pPr>
      <w:r w:rsidRPr="00866277">
        <w:rPr>
          <w:lang w:val="ro-RO"/>
        </w:rPr>
        <w:t>Cu referire la (</w:t>
      </w:r>
      <w:r w:rsidRPr="00866277">
        <w:rPr>
          <w:b/>
          <w:lang w:val="ro-RO"/>
        </w:rPr>
        <w:t>pct.1.2.9</w:t>
      </w:r>
      <w:r w:rsidRPr="00866277">
        <w:rPr>
          <w:lang w:val="ro-RO"/>
        </w:rPr>
        <w:t>)</w:t>
      </w:r>
      <w:r w:rsidRPr="00866277">
        <w:rPr>
          <w:rFonts w:ascii="Arial Narrow" w:hAnsi="Arial Narrow"/>
          <w:lang w:val="ro-RO"/>
        </w:rPr>
        <w:t xml:space="preserve"> </w:t>
      </w:r>
      <w:r w:rsidR="002F1129" w:rsidRPr="00103908">
        <w:rPr>
          <w:i/>
          <w:lang w:val="ro-RO"/>
        </w:rPr>
        <w:t>c</w:t>
      </w:r>
      <w:r w:rsidRPr="00103908">
        <w:rPr>
          <w:i/>
          <w:lang w:val="ro-RO"/>
        </w:rPr>
        <w:t xml:space="preserve">onsolidarea capacității de verificare a publicității </w:t>
      </w:r>
      <w:r w:rsidR="0038682F" w:rsidRPr="00103908">
        <w:rPr>
          <w:i/>
          <w:lang w:val="ro-RO"/>
        </w:rPr>
        <w:t xml:space="preserve">produselor, menționăm </w:t>
      </w:r>
      <w:r w:rsidR="00103908">
        <w:rPr>
          <w:i/>
          <w:lang w:val="ro-RO"/>
        </w:rPr>
        <w:t xml:space="preserve">că, </w:t>
      </w:r>
      <w:r w:rsidR="00103908" w:rsidRPr="00103908">
        <w:rPr>
          <w:lang w:val="ro-RO"/>
        </w:rPr>
        <w:t>î</w:t>
      </w:r>
      <w:r w:rsidR="0038682F" w:rsidRPr="00103908">
        <w:rPr>
          <w:lang w:val="ro-RO"/>
        </w:rPr>
        <w:t>n</w:t>
      </w:r>
      <w:r w:rsidR="0038682F" w:rsidRPr="00866277">
        <w:rPr>
          <w:lang w:val="ro-RO"/>
        </w:rPr>
        <w:t xml:space="preserve"> anul 2019</w:t>
      </w:r>
      <w:r w:rsidR="00103908">
        <w:rPr>
          <w:lang w:val="ro-RO"/>
        </w:rPr>
        <w:t xml:space="preserve"> nu s-au î</w:t>
      </w:r>
      <w:r w:rsidR="0038682F" w:rsidRPr="00866277">
        <w:rPr>
          <w:lang w:val="ro-RO"/>
        </w:rPr>
        <w:t xml:space="preserve">nregistrat produse medicamentoase, farmaceutice și </w:t>
      </w:r>
      <w:proofErr w:type="spellStart"/>
      <w:r w:rsidR="0038682F" w:rsidRPr="00866277">
        <w:rPr>
          <w:lang w:val="ro-RO"/>
        </w:rPr>
        <w:t>parafarmaceutice</w:t>
      </w:r>
      <w:proofErr w:type="spellEnd"/>
      <w:r w:rsidR="0038682F" w:rsidRPr="00866277">
        <w:rPr>
          <w:lang w:val="ro-RO"/>
        </w:rPr>
        <w:t xml:space="preserve"> și dispozitive medicale cu publicitate neconformă caracteristicilor prescrise/declarate de către agenții economici.</w:t>
      </w:r>
    </w:p>
    <w:p w:rsidR="0038682F" w:rsidRPr="00866277" w:rsidRDefault="0038682F" w:rsidP="0038682F">
      <w:pPr>
        <w:tabs>
          <w:tab w:val="left" w:pos="709"/>
          <w:tab w:val="left" w:pos="1152"/>
        </w:tabs>
        <w:spacing w:line="223" w:lineRule="auto"/>
        <w:ind w:firstLine="720"/>
        <w:jc w:val="both"/>
        <w:rPr>
          <w:lang w:val="ro-RO"/>
        </w:rPr>
      </w:pPr>
      <w:r w:rsidRPr="00866277">
        <w:rPr>
          <w:lang w:val="ro-RO"/>
        </w:rPr>
        <w:t>De către APCSP verificări privind publicitatea produselor nu au fost efectuate, iar cazuri de publicitate necorespunzătoare nu au fost reclamate.</w:t>
      </w:r>
    </w:p>
    <w:p w:rsidR="0038682F" w:rsidRPr="00866277" w:rsidRDefault="0038682F" w:rsidP="0038682F">
      <w:pPr>
        <w:ind w:right="90" w:firstLine="371"/>
        <w:jc w:val="both"/>
        <w:rPr>
          <w:lang w:val="ro-RO"/>
        </w:rPr>
      </w:pPr>
      <w:r w:rsidRPr="00866277">
        <w:rPr>
          <w:lang w:val="ro-RO"/>
        </w:rPr>
        <w:t>Agenția Național</w:t>
      </w:r>
      <w:r w:rsidR="00626237" w:rsidRPr="00866277">
        <w:rPr>
          <w:lang w:val="ro-RO"/>
        </w:rPr>
        <w:t>ă</w:t>
      </w:r>
      <w:r w:rsidRPr="00866277">
        <w:rPr>
          <w:lang w:val="ro-RO"/>
        </w:rPr>
        <w:t xml:space="preserve"> pentru Siguranța Alimentelor a informat că </w:t>
      </w:r>
      <w:r w:rsidR="00103908">
        <w:rPr>
          <w:lang w:val="ro-RO"/>
        </w:rPr>
        <w:t xml:space="preserve">acțiunea de </w:t>
      </w:r>
      <w:r w:rsidRPr="00866277">
        <w:rPr>
          <w:lang w:val="ro-RO"/>
        </w:rPr>
        <w:t>verificare a publicității</w:t>
      </w:r>
      <w:r w:rsidR="00103908">
        <w:rPr>
          <w:lang w:val="ro-RO"/>
        </w:rPr>
        <w:t xml:space="preserve"> produselor nu ține de competenț</w:t>
      </w:r>
      <w:r w:rsidRPr="00866277">
        <w:rPr>
          <w:lang w:val="ro-RO"/>
        </w:rPr>
        <w:t>a ANSA.</w:t>
      </w:r>
    </w:p>
    <w:p w:rsidR="00E83E7E" w:rsidRPr="00866277" w:rsidRDefault="00E83E7E" w:rsidP="00D41B76">
      <w:pPr>
        <w:tabs>
          <w:tab w:val="left" w:pos="709"/>
          <w:tab w:val="left" w:pos="1152"/>
        </w:tabs>
        <w:spacing w:line="223" w:lineRule="auto"/>
        <w:ind w:firstLine="720"/>
        <w:jc w:val="both"/>
        <w:rPr>
          <w:lang w:val="ro-RO" w:eastAsia="ru-RU"/>
        </w:rPr>
      </w:pPr>
    </w:p>
    <w:p w:rsidR="0028711B" w:rsidRPr="00866277" w:rsidRDefault="0028711B" w:rsidP="00835BA6">
      <w:pPr>
        <w:ind w:firstLine="720"/>
        <w:jc w:val="both"/>
        <w:rPr>
          <w:lang w:val="ro-RO"/>
        </w:rPr>
      </w:pPr>
      <w:r w:rsidRPr="00866277">
        <w:rPr>
          <w:lang w:val="ro-RO" w:eastAsia="ru-RU"/>
        </w:rPr>
        <w:t xml:space="preserve">Organizarea </w:t>
      </w:r>
      <w:r w:rsidR="008401A2" w:rsidRPr="00866277">
        <w:rPr>
          <w:lang w:val="ro-RO" w:eastAsia="ru-RU"/>
        </w:rPr>
        <w:t>activităților</w:t>
      </w:r>
      <w:r w:rsidRPr="00866277">
        <w:rPr>
          <w:lang w:val="ro-RO" w:eastAsia="ru-RU"/>
        </w:rPr>
        <w:t xml:space="preserve"> de instruire a personalului </w:t>
      </w:r>
      <w:r w:rsidRPr="00866277">
        <w:rPr>
          <w:lang w:val="ro-RO"/>
        </w:rPr>
        <w:t>APCSP</w:t>
      </w:r>
      <w:r w:rsidRPr="00866277">
        <w:rPr>
          <w:lang w:val="ro-RO" w:eastAsia="ru-RU"/>
        </w:rPr>
        <w:t xml:space="preserve"> privind supravegherea </w:t>
      </w:r>
      <w:r w:rsidR="008401A2" w:rsidRPr="00866277">
        <w:rPr>
          <w:lang w:val="ro-RO" w:eastAsia="ru-RU"/>
        </w:rPr>
        <w:t>pieței</w:t>
      </w:r>
      <w:r w:rsidRPr="00866277">
        <w:rPr>
          <w:lang w:val="ro-RO" w:eastAsia="ru-RU"/>
        </w:rPr>
        <w:t xml:space="preserve"> pe baza principiilor Uniunii Europene</w:t>
      </w:r>
      <w:r w:rsidRPr="00866277">
        <w:rPr>
          <w:lang w:val="ro-RO"/>
        </w:rPr>
        <w:t xml:space="preserve"> </w:t>
      </w:r>
      <w:r w:rsidRPr="00866277">
        <w:rPr>
          <w:rFonts w:eastAsia="Times New Roman"/>
          <w:bCs/>
          <w:lang w:val="ro-RO"/>
        </w:rPr>
        <w:t>(</w:t>
      </w:r>
      <w:r w:rsidRPr="00866277">
        <w:rPr>
          <w:b/>
          <w:bCs/>
          <w:iCs/>
          <w:lang w:val="ro-RO" w:eastAsia="ru-RU"/>
        </w:rPr>
        <w:t>pct.</w:t>
      </w:r>
      <w:r w:rsidRPr="00866277">
        <w:rPr>
          <w:rFonts w:eastAsia="Times New Roman"/>
          <w:b/>
          <w:bCs/>
          <w:lang w:val="ro-RO"/>
        </w:rPr>
        <w:t>1.2.10</w:t>
      </w:r>
      <w:r w:rsidRPr="00866277">
        <w:rPr>
          <w:rFonts w:eastAsia="Times New Roman"/>
          <w:bCs/>
          <w:lang w:val="ro-RO"/>
        </w:rPr>
        <w:t>)</w:t>
      </w:r>
      <w:r w:rsidRPr="00866277">
        <w:rPr>
          <w:lang w:val="ro-RO"/>
        </w:rPr>
        <w:t xml:space="preserve"> pe parcursul anului 201</w:t>
      </w:r>
      <w:r w:rsidR="008E39DD" w:rsidRPr="00866277">
        <w:rPr>
          <w:lang w:val="ro-RO"/>
        </w:rPr>
        <w:t>9</w:t>
      </w:r>
      <w:r w:rsidRPr="00866277">
        <w:rPr>
          <w:lang w:val="ro-RO"/>
        </w:rPr>
        <w:t xml:space="preserve">, s-au manifestat prin </w:t>
      </w:r>
      <w:r w:rsidR="008E39DD" w:rsidRPr="00866277">
        <w:rPr>
          <w:lang w:val="ro-RO"/>
        </w:rPr>
        <w:t xml:space="preserve">14 </w:t>
      </w:r>
      <w:r w:rsidRPr="00866277">
        <w:rPr>
          <w:lang w:val="ro-RO"/>
        </w:rPr>
        <w:t>instruiri pe diferite tematici, la care au participat personalul APCSP:</w:t>
      </w:r>
    </w:p>
    <w:p w:rsidR="008E39DD" w:rsidRPr="00866277" w:rsidRDefault="008E39DD" w:rsidP="000553B7">
      <w:pPr>
        <w:pStyle w:val="ListParagraph"/>
        <w:numPr>
          <w:ilvl w:val="0"/>
          <w:numId w:val="21"/>
        </w:numPr>
        <w:tabs>
          <w:tab w:val="left" w:pos="176"/>
          <w:tab w:val="left" w:pos="567"/>
        </w:tabs>
        <w:spacing w:after="0" w:line="240" w:lineRule="auto"/>
        <w:ind w:left="0" w:firstLine="360"/>
        <w:contextualSpacing w:val="0"/>
        <w:jc w:val="both"/>
        <w:rPr>
          <w:rFonts w:ascii="Times New Roman" w:hAnsi="Times New Roman"/>
          <w:sz w:val="24"/>
          <w:szCs w:val="24"/>
          <w:lang w:val="ro-RO"/>
        </w:rPr>
      </w:pPr>
      <w:r w:rsidRPr="00866277">
        <w:rPr>
          <w:rFonts w:ascii="Times New Roman" w:hAnsi="Times New Roman"/>
          <w:sz w:val="24"/>
          <w:szCs w:val="24"/>
          <w:lang w:val="ro-RO"/>
        </w:rPr>
        <w:t xml:space="preserve"> „Reglementarea unor măsuri naționale privind etichetarea și informațiile standard despre produse cu impact energetic, destinate utilizatorilor finali”;</w:t>
      </w:r>
    </w:p>
    <w:p w:rsidR="008E39DD" w:rsidRPr="00866277" w:rsidRDefault="008E39DD" w:rsidP="000553B7">
      <w:pPr>
        <w:pStyle w:val="ListParagraph"/>
        <w:numPr>
          <w:ilvl w:val="0"/>
          <w:numId w:val="21"/>
        </w:numPr>
        <w:tabs>
          <w:tab w:val="left" w:pos="34"/>
          <w:tab w:val="left" w:pos="176"/>
        </w:tabs>
        <w:spacing w:after="0" w:line="240" w:lineRule="auto"/>
        <w:ind w:left="0" w:firstLine="360"/>
        <w:contextualSpacing w:val="0"/>
        <w:jc w:val="both"/>
        <w:rPr>
          <w:rFonts w:ascii="Times New Roman" w:hAnsi="Times New Roman"/>
          <w:sz w:val="24"/>
          <w:szCs w:val="24"/>
          <w:lang w:val="ro-RO"/>
        </w:rPr>
      </w:pPr>
      <w:r w:rsidRPr="00537BE6">
        <w:rPr>
          <w:rFonts w:ascii="Times New Roman" w:hAnsi="Times New Roman"/>
          <w:sz w:val="24"/>
          <w:szCs w:val="24"/>
          <w:lang w:val="ro-RO"/>
        </w:rPr>
        <w:t>„</w:t>
      </w:r>
      <w:r w:rsidRPr="00866277">
        <w:rPr>
          <w:rFonts w:ascii="Times New Roman" w:hAnsi="Times New Roman"/>
          <w:sz w:val="24"/>
          <w:szCs w:val="24"/>
          <w:lang w:val="ro-RO"/>
        </w:rPr>
        <w:t>Promovarea cooperării regionale din țările Parteneriatului Estic în domeniul infrastructurii calității” (Minsk);</w:t>
      </w:r>
    </w:p>
    <w:p w:rsidR="008E39DD" w:rsidRPr="00866277" w:rsidRDefault="008E39DD" w:rsidP="000553B7">
      <w:pPr>
        <w:pStyle w:val="ListParagraph"/>
        <w:numPr>
          <w:ilvl w:val="0"/>
          <w:numId w:val="21"/>
        </w:numPr>
        <w:tabs>
          <w:tab w:val="left" w:pos="34"/>
          <w:tab w:val="left" w:pos="176"/>
        </w:tabs>
        <w:spacing w:after="0" w:line="240" w:lineRule="auto"/>
        <w:ind w:left="0" w:firstLine="360"/>
        <w:contextualSpacing w:val="0"/>
        <w:jc w:val="both"/>
        <w:rPr>
          <w:rFonts w:ascii="Times New Roman" w:hAnsi="Times New Roman"/>
          <w:sz w:val="24"/>
          <w:szCs w:val="24"/>
          <w:lang w:val="ro-RO"/>
        </w:rPr>
      </w:pPr>
      <w:r w:rsidRPr="00866277">
        <w:rPr>
          <w:rFonts w:ascii="Times New Roman" w:hAnsi="Times New Roman"/>
          <w:sz w:val="24"/>
          <w:szCs w:val="24"/>
          <w:lang w:val="ro-RO"/>
        </w:rPr>
        <w:t>„Atelier de lucru Parteneriat și cooperare”;</w:t>
      </w:r>
    </w:p>
    <w:p w:rsidR="008E39DD" w:rsidRPr="00866277" w:rsidRDefault="008E39DD" w:rsidP="000553B7">
      <w:pPr>
        <w:pStyle w:val="ListParagraph"/>
        <w:numPr>
          <w:ilvl w:val="0"/>
          <w:numId w:val="21"/>
        </w:numPr>
        <w:tabs>
          <w:tab w:val="left" w:pos="34"/>
          <w:tab w:val="left" w:pos="176"/>
        </w:tabs>
        <w:spacing w:after="0" w:line="240" w:lineRule="auto"/>
        <w:ind w:left="0" w:firstLine="360"/>
        <w:contextualSpacing w:val="0"/>
        <w:jc w:val="both"/>
        <w:rPr>
          <w:rFonts w:ascii="Times New Roman" w:hAnsi="Times New Roman"/>
          <w:sz w:val="24"/>
          <w:szCs w:val="24"/>
          <w:lang w:val="ro-RO"/>
        </w:rPr>
      </w:pPr>
      <w:r w:rsidRPr="00866277">
        <w:rPr>
          <w:rFonts w:ascii="Times New Roman" w:hAnsi="Times New Roman"/>
          <w:sz w:val="24"/>
          <w:szCs w:val="24"/>
          <w:lang w:val="ro-RO"/>
        </w:rPr>
        <w:t>„Proceduri de control în domeniul supravegherii pieței și liste de verificări bazate pe evaluarea riscurilor ”;</w:t>
      </w:r>
    </w:p>
    <w:p w:rsidR="008E39DD" w:rsidRPr="00866277" w:rsidRDefault="008E39DD" w:rsidP="000553B7">
      <w:pPr>
        <w:pStyle w:val="ListParagraph"/>
        <w:numPr>
          <w:ilvl w:val="0"/>
          <w:numId w:val="21"/>
        </w:numPr>
        <w:tabs>
          <w:tab w:val="left" w:pos="176"/>
        </w:tabs>
        <w:spacing w:after="0" w:line="240" w:lineRule="auto"/>
        <w:ind w:left="0" w:firstLine="360"/>
        <w:contextualSpacing w:val="0"/>
        <w:jc w:val="both"/>
        <w:rPr>
          <w:rFonts w:ascii="Times New Roman" w:eastAsia="Calibri" w:hAnsi="Times New Roman"/>
          <w:sz w:val="24"/>
          <w:szCs w:val="24"/>
          <w:lang w:val="ro-RO"/>
        </w:rPr>
      </w:pPr>
      <w:r w:rsidRPr="00866277">
        <w:rPr>
          <w:rFonts w:ascii="Times New Roman" w:eastAsia="Calibri" w:hAnsi="Times New Roman"/>
          <w:sz w:val="24"/>
          <w:szCs w:val="24"/>
          <w:lang w:val="ro-RO"/>
        </w:rPr>
        <w:t>„Abordarea UE în domeniul evaluării riscurilor pentru produse nealimentare destinate consumatorilor”;</w:t>
      </w:r>
    </w:p>
    <w:p w:rsidR="008E39DD" w:rsidRPr="00866277" w:rsidRDefault="008E39DD" w:rsidP="000553B7">
      <w:pPr>
        <w:pStyle w:val="ListParagraph"/>
        <w:numPr>
          <w:ilvl w:val="0"/>
          <w:numId w:val="21"/>
        </w:numPr>
        <w:tabs>
          <w:tab w:val="left" w:pos="176"/>
        </w:tabs>
        <w:spacing w:after="0" w:line="240" w:lineRule="auto"/>
        <w:ind w:left="0" w:firstLine="360"/>
        <w:contextualSpacing w:val="0"/>
        <w:jc w:val="both"/>
        <w:rPr>
          <w:rFonts w:ascii="Times New Roman" w:eastAsia="Calibri" w:hAnsi="Times New Roman"/>
          <w:sz w:val="24"/>
          <w:szCs w:val="24"/>
          <w:lang w:val="ro-RO"/>
        </w:rPr>
      </w:pPr>
      <w:r w:rsidRPr="00866277">
        <w:rPr>
          <w:rFonts w:ascii="Times New Roman" w:eastAsia="Calibri" w:hAnsi="Times New Roman"/>
          <w:sz w:val="24"/>
          <w:szCs w:val="24"/>
          <w:lang w:val="ro-RO"/>
        </w:rPr>
        <w:t>„Codul civil modernizat : pachetele de servicii de călătorie;</w:t>
      </w:r>
    </w:p>
    <w:p w:rsidR="008E39DD" w:rsidRPr="00866277" w:rsidRDefault="008E39DD" w:rsidP="000553B7">
      <w:pPr>
        <w:pStyle w:val="ListParagraph"/>
        <w:numPr>
          <w:ilvl w:val="0"/>
          <w:numId w:val="21"/>
        </w:numPr>
        <w:tabs>
          <w:tab w:val="left" w:pos="176"/>
        </w:tabs>
        <w:spacing w:after="0" w:line="240" w:lineRule="auto"/>
        <w:ind w:left="0" w:firstLine="360"/>
        <w:contextualSpacing w:val="0"/>
        <w:jc w:val="both"/>
        <w:rPr>
          <w:rFonts w:ascii="Times New Roman" w:eastAsia="Calibri" w:hAnsi="Times New Roman"/>
          <w:sz w:val="24"/>
          <w:szCs w:val="24"/>
          <w:lang w:val="ro-RO"/>
        </w:rPr>
      </w:pPr>
      <w:r w:rsidRPr="00866277">
        <w:rPr>
          <w:rFonts w:ascii="Times New Roman" w:eastAsia="Calibri" w:hAnsi="Times New Roman"/>
          <w:sz w:val="24"/>
          <w:szCs w:val="24"/>
          <w:lang w:val="ro-RO"/>
        </w:rPr>
        <w:t>„Directiva echipamentelor tehnice”;</w:t>
      </w:r>
    </w:p>
    <w:p w:rsidR="008E39DD" w:rsidRPr="00866277" w:rsidRDefault="008E39DD" w:rsidP="000553B7">
      <w:pPr>
        <w:pStyle w:val="ListParagraph"/>
        <w:numPr>
          <w:ilvl w:val="0"/>
          <w:numId w:val="21"/>
        </w:numPr>
        <w:tabs>
          <w:tab w:val="left" w:pos="176"/>
        </w:tabs>
        <w:spacing w:after="0" w:line="240" w:lineRule="auto"/>
        <w:ind w:left="0" w:firstLine="360"/>
        <w:contextualSpacing w:val="0"/>
        <w:jc w:val="both"/>
        <w:rPr>
          <w:rFonts w:ascii="Times New Roman" w:eastAsia="Calibri" w:hAnsi="Times New Roman"/>
          <w:sz w:val="24"/>
          <w:szCs w:val="24"/>
          <w:lang w:val="ro-RO"/>
        </w:rPr>
      </w:pPr>
      <w:r w:rsidRPr="00866277">
        <w:rPr>
          <w:rFonts w:ascii="Times New Roman" w:eastAsia="Calibri" w:hAnsi="Times New Roman"/>
          <w:sz w:val="24"/>
          <w:szCs w:val="24"/>
          <w:lang w:val="ro-RO"/>
        </w:rPr>
        <w:t>4 runde de instruiri organizate MEI în cadrul Proiectului DCFTA:</w:t>
      </w:r>
    </w:p>
    <w:p w:rsidR="008E39DD" w:rsidRPr="00835308" w:rsidRDefault="008E39DD" w:rsidP="000553B7">
      <w:pPr>
        <w:tabs>
          <w:tab w:val="left" w:pos="176"/>
          <w:tab w:val="left" w:pos="318"/>
        </w:tabs>
        <w:ind w:firstLine="720"/>
        <w:jc w:val="both"/>
        <w:rPr>
          <w:rFonts w:eastAsia="Calibri"/>
          <w:i/>
          <w:lang w:val="ro-RO"/>
        </w:rPr>
      </w:pPr>
      <w:r w:rsidRPr="00835308">
        <w:rPr>
          <w:rFonts w:eastAsia="Calibri"/>
          <w:i/>
          <w:lang w:val="ro-RO"/>
        </w:rPr>
        <w:t>1.  Evoluții recente în acquis-</w:t>
      </w:r>
      <w:proofErr w:type="spellStart"/>
      <w:r w:rsidRPr="00835308">
        <w:rPr>
          <w:rFonts w:eastAsia="Calibri"/>
          <w:i/>
          <w:lang w:val="ro-RO"/>
        </w:rPr>
        <w:t>ul</w:t>
      </w:r>
      <w:proofErr w:type="spellEnd"/>
      <w:r w:rsidRPr="00835308">
        <w:rPr>
          <w:rFonts w:eastAsia="Calibri"/>
          <w:i/>
          <w:lang w:val="ro-RO"/>
        </w:rPr>
        <w:t xml:space="preserve"> comunitar;</w:t>
      </w:r>
    </w:p>
    <w:p w:rsidR="008E39DD" w:rsidRPr="00835308" w:rsidRDefault="008E39DD" w:rsidP="000553B7">
      <w:pPr>
        <w:tabs>
          <w:tab w:val="left" w:pos="176"/>
          <w:tab w:val="left" w:pos="318"/>
        </w:tabs>
        <w:ind w:firstLine="720"/>
        <w:jc w:val="both"/>
        <w:rPr>
          <w:rFonts w:eastAsia="Calibri"/>
          <w:i/>
          <w:lang w:val="ro-RO"/>
        </w:rPr>
      </w:pPr>
      <w:r w:rsidRPr="00835308">
        <w:rPr>
          <w:rFonts w:eastAsia="Calibri"/>
          <w:i/>
          <w:lang w:val="ro-RO"/>
        </w:rPr>
        <w:t>2.  Obligațiile comercianților;</w:t>
      </w:r>
    </w:p>
    <w:p w:rsidR="008E39DD" w:rsidRPr="00835308" w:rsidRDefault="008E39DD" w:rsidP="000553B7">
      <w:pPr>
        <w:tabs>
          <w:tab w:val="left" w:pos="176"/>
          <w:tab w:val="left" w:pos="318"/>
        </w:tabs>
        <w:ind w:firstLine="720"/>
        <w:jc w:val="both"/>
        <w:rPr>
          <w:rFonts w:eastAsia="Calibri"/>
          <w:i/>
          <w:lang w:val="ro-RO"/>
        </w:rPr>
      </w:pPr>
      <w:r w:rsidRPr="00835308">
        <w:rPr>
          <w:rFonts w:eastAsia="Calibri"/>
          <w:i/>
          <w:lang w:val="ro-RO"/>
        </w:rPr>
        <w:t>3.  Practici comerciale neloiale;</w:t>
      </w:r>
    </w:p>
    <w:p w:rsidR="008E39DD" w:rsidRPr="00866277" w:rsidRDefault="008E39DD" w:rsidP="000553B7">
      <w:pPr>
        <w:tabs>
          <w:tab w:val="left" w:pos="176"/>
          <w:tab w:val="left" w:pos="318"/>
        </w:tabs>
        <w:ind w:firstLine="720"/>
        <w:jc w:val="both"/>
        <w:rPr>
          <w:rFonts w:eastAsia="Calibri"/>
          <w:lang w:val="ro-RO"/>
        </w:rPr>
      </w:pPr>
      <w:r w:rsidRPr="00835308">
        <w:rPr>
          <w:rFonts w:eastAsia="Calibri"/>
          <w:i/>
          <w:lang w:val="ro-RO"/>
        </w:rPr>
        <w:t xml:space="preserve">4.  </w:t>
      </w:r>
      <w:r w:rsidRPr="00866277">
        <w:rPr>
          <w:rFonts w:eastAsia="Calibri"/>
          <w:i/>
          <w:lang w:val="ro-RO"/>
        </w:rPr>
        <w:t>Decontările extrajudiciare</w:t>
      </w:r>
      <w:r w:rsidR="00835308">
        <w:rPr>
          <w:rFonts w:eastAsia="Calibri"/>
          <w:i/>
          <w:lang w:val="ro-RO"/>
        </w:rPr>
        <w:t>.</w:t>
      </w:r>
    </w:p>
    <w:p w:rsidR="008E39DD" w:rsidRPr="00866277" w:rsidRDefault="008E39DD" w:rsidP="000553B7">
      <w:pPr>
        <w:pStyle w:val="ListParagraph"/>
        <w:numPr>
          <w:ilvl w:val="0"/>
          <w:numId w:val="21"/>
        </w:numPr>
        <w:tabs>
          <w:tab w:val="left" w:pos="176"/>
        </w:tabs>
        <w:spacing w:after="0" w:line="240" w:lineRule="auto"/>
        <w:ind w:left="0" w:firstLine="360"/>
        <w:contextualSpacing w:val="0"/>
        <w:jc w:val="both"/>
        <w:rPr>
          <w:rFonts w:ascii="Times New Roman" w:eastAsia="Calibri" w:hAnsi="Times New Roman"/>
          <w:sz w:val="24"/>
          <w:szCs w:val="24"/>
          <w:lang w:val="ro-RO"/>
        </w:rPr>
      </w:pPr>
      <w:r w:rsidRPr="00866277">
        <w:rPr>
          <w:rFonts w:ascii="Times New Roman" w:eastAsia="Calibri" w:hAnsi="Times New Roman"/>
          <w:sz w:val="24"/>
          <w:szCs w:val="24"/>
          <w:lang w:val="ro-RO"/>
        </w:rPr>
        <w:t>„Preluarea bunelor practici din cadrul Biroului pentru Protecția Consumatorilor”  (Varșovia);</w:t>
      </w:r>
    </w:p>
    <w:p w:rsidR="008E39DD" w:rsidRPr="00866277" w:rsidRDefault="008E39DD" w:rsidP="000553B7">
      <w:pPr>
        <w:pStyle w:val="ListParagraph"/>
        <w:numPr>
          <w:ilvl w:val="0"/>
          <w:numId w:val="21"/>
        </w:numPr>
        <w:tabs>
          <w:tab w:val="left" w:pos="176"/>
        </w:tabs>
        <w:spacing w:after="0" w:line="240" w:lineRule="auto"/>
        <w:ind w:left="0" w:firstLine="360"/>
        <w:contextualSpacing w:val="0"/>
        <w:jc w:val="both"/>
        <w:rPr>
          <w:rFonts w:ascii="Times New Roman" w:eastAsia="Calibri" w:hAnsi="Times New Roman"/>
          <w:sz w:val="24"/>
          <w:szCs w:val="24"/>
          <w:lang w:val="ro-RO"/>
        </w:rPr>
      </w:pPr>
      <w:r w:rsidRPr="00866277">
        <w:rPr>
          <w:rFonts w:ascii="Times New Roman" w:eastAsia="Calibri" w:hAnsi="Times New Roman"/>
          <w:sz w:val="24"/>
          <w:szCs w:val="24"/>
          <w:lang w:val="ro-RO"/>
        </w:rPr>
        <w:lastRenderedPageBreak/>
        <w:t>4 Sesiuni de instruire de către proiectul EU4CONS”;</w:t>
      </w:r>
    </w:p>
    <w:p w:rsidR="008E39DD" w:rsidRPr="00866277" w:rsidRDefault="008E39DD" w:rsidP="000553B7">
      <w:pPr>
        <w:pStyle w:val="ListParagraph"/>
        <w:numPr>
          <w:ilvl w:val="0"/>
          <w:numId w:val="21"/>
        </w:numPr>
        <w:tabs>
          <w:tab w:val="left" w:pos="176"/>
        </w:tabs>
        <w:spacing w:after="0" w:line="240" w:lineRule="auto"/>
        <w:ind w:left="0" w:firstLine="360"/>
        <w:contextualSpacing w:val="0"/>
        <w:jc w:val="both"/>
        <w:rPr>
          <w:rFonts w:ascii="Times New Roman" w:eastAsia="Calibri" w:hAnsi="Times New Roman"/>
          <w:sz w:val="24"/>
          <w:szCs w:val="24"/>
          <w:lang w:val="ro-RO"/>
        </w:rPr>
      </w:pPr>
      <w:r w:rsidRPr="00866277">
        <w:rPr>
          <w:rFonts w:ascii="Times New Roman" w:eastAsia="Calibri" w:hAnsi="Times New Roman"/>
          <w:sz w:val="24"/>
          <w:szCs w:val="24"/>
          <w:lang w:val="ro-RO"/>
        </w:rPr>
        <w:t>„Elaborarea și coordonarea proiectelor de acte normative”;</w:t>
      </w:r>
    </w:p>
    <w:p w:rsidR="008E39DD" w:rsidRPr="00866277" w:rsidRDefault="008E39DD" w:rsidP="000553B7">
      <w:pPr>
        <w:pStyle w:val="ListParagraph"/>
        <w:numPr>
          <w:ilvl w:val="0"/>
          <w:numId w:val="21"/>
        </w:numPr>
        <w:tabs>
          <w:tab w:val="left" w:pos="176"/>
        </w:tabs>
        <w:spacing w:after="0" w:line="240" w:lineRule="auto"/>
        <w:ind w:left="0" w:firstLine="360"/>
        <w:contextualSpacing w:val="0"/>
        <w:jc w:val="both"/>
        <w:rPr>
          <w:rFonts w:ascii="Times New Roman" w:eastAsia="Calibri" w:hAnsi="Times New Roman"/>
          <w:sz w:val="24"/>
          <w:szCs w:val="24"/>
          <w:lang w:val="ro-RO"/>
        </w:rPr>
      </w:pPr>
      <w:r w:rsidRPr="00866277">
        <w:rPr>
          <w:rFonts w:ascii="Times New Roman" w:eastAsia="Calibri" w:hAnsi="Times New Roman"/>
          <w:sz w:val="24"/>
          <w:szCs w:val="24"/>
          <w:lang w:val="ro-RO"/>
        </w:rPr>
        <w:t>„Evaluarea riscurilor pentru nevoile de supraveghere a pieței” (or. Kiev);</w:t>
      </w:r>
    </w:p>
    <w:p w:rsidR="008E39DD" w:rsidRPr="00866277" w:rsidRDefault="008E39DD" w:rsidP="000553B7">
      <w:pPr>
        <w:pStyle w:val="ListParagraph"/>
        <w:numPr>
          <w:ilvl w:val="0"/>
          <w:numId w:val="21"/>
        </w:numPr>
        <w:tabs>
          <w:tab w:val="left" w:pos="176"/>
        </w:tabs>
        <w:spacing w:after="0" w:line="240" w:lineRule="auto"/>
        <w:ind w:left="0" w:firstLine="360"/>
        <w:contextualSpacing w:val="0"/>
        <w:jc w:val="both"/>
        <w:rPr>
          <w:rFonts w:ascii="Times New Roman" w:eastAsia="Calibri" w:hAnsi="Times New Roman"/>
          <w:sz w:val="24"/>
          <w:szCs w:val="24"/>
          <w:lang w:val="ro-RO"/>
        </w:rPr>
      </w:pPr>
      <w:r w:rsidRPr="00866277">
        <w:rPr>
          <w:rFonts w:ascii="Times New Roman" w:eastAsia="Calibri" w:hAnsi="Times New Roman"/>
          <w:sz w:val="24"/>
          <w:szCs w:val="24"/>
          <w:lang w:val="ro-RO"/>
        </w:rPr>
        <w:t>„Credite de consum – Cadrul legal de reglementare și aspecte practice”;</w:t>
      </w:r>
    </w:p>
    <w:p w:rsidR="008E39DD" w:rsidRPr="00866277" w:rsidRDefault="008E39DD" w:rsidP="000553B7">
      <w:pPr>
        <w:ind w:firstLine="360"/>
        <w:jc w:val="both"/>
        <w:rPr>
          <w:lang w:val="ro-RO"/>
        </w:rPr>
      </w:pPr>
      <w:r w:rsidRPr="00866277">
        <w:rPr>
          <w:rFonts w:eastAsia="Calibri"/>
          <w:lang w:val="ro-RO"/>
        </w:rPr>
        <w:t>„E-turism și protecția consumatorilor”.</w:t>
      </w:r>
    </w:p>
    <w:p w:rsidR="008E39DD" w:rsidRPr="00866277" w:rsidRDefault="008E39DD" w:rsidP="00D21B0A">
      <w:pPr>
        <w:ind w:firstLine="720"/>
        <w:jc w:val="both"/>
        <w:rPr>
          <w:lang w:val="ro-RO"/>
        </w:rPr>
      </w:pPr>
    </w:p>
    <w:p w:rsidR="008F2DF4" w:rsidRPr="00866277" w:rsidRDefault="00A24BEA" w:rsidP="00835BA6">
      <w:pPr>
        <w:tabs>
          <w:tab w:val="left" w:pos="1080"/>
          <w:tab w:val="left" w:pos="1260"/>
        </w:tabs>
        <w:ind w:firstLine="720"/>
        <w:jc w:val="both"/>
        <w:rPr>
          <w:lang w:val="ro-RO"/>
        </w:rPr>
      </w:pPr>
      <w:r w:rsidRPr="00866277">
        <w:rPr>
          <w:lang w:val="ro-RO"/>
        </w:rPr>
        <w:t>În partea ce ține de i</w:t>
      </w:r>
      <w:r w:rsidR="00537E80" w:rsidRPr="00866277">
        <w:rPr>
          <w:lang w:val="ro-RO"/>
        </w:rPr>
        <w:t>nstruirea personalului autorităților de supraveghere a pieței privind noul cadru legal adoptat care reglementează domeniul supravegherii pieței</w:t>
      </w:r>
      <w:r w:rsidR="00537E80" w:rsidRPr="00866277">
        <w:rPr>
          <w:rFonts w:eastAsia="Times New Roman"/>
          <w:bCs/>
          <w:i/>
          <w:lang w:val="ro-RO"/>
        </w:rPr>
        <w:t xml:space="preserve"> </w:t>
      </w:r>
      <w:r w:rsidR="00537E80" w:rsidRPr="00866277">
        <w:rPr>
          <w:rFonts w:eastAsia="Times New Roman"/>
          <w:b/>
          <w:bCs/>
          <w:lang w:val="ro-RO"/>
        </w:rPr>
        <w:t>(pct.</w:t>
      </w:r>
      <w:r w:rsidR="00537E80" w:rsidRPr="00866277">
        <w:rPr>
          <w:rFonts w:eastAsia="Times New Roman"/>
          <w:bCs/>
          <w:lang w:val="ro-RO"/>
        </w:rPr>
        <w:t xml:space="preserve"> </w:t>
      </w:r>
      <w:r w:rsidR="00537E80" w:rsidRPr="00866277">
        <w:rPr>
          <w:rFonts w:eastAsia="Times New Roman"/>
          <w:b/>
          <w:bCs/>
          <w:lang w:val="ro-RO"/>
        </w:rPr>
        <w:t>1.2.11)</w:t>
      </w:r>
      <w:r w:rsidRPr="00866277">
        <w:rPr>
          <w:rFonts w:eastAsia="Times New Roman"/>
          <w:bCs/>
          <w:lang w:val="ro-RO"/>
        </w:rPr>
        <w:t>, î</w:t>
      </w:r>
      <w:r w:rsidR="00E83E7E" w:rsidRPr="00866277">
        <w:rPr>
          <w:lang w:val="ro-RO"/>
        </w:rPr>
        <w:t xml:space="preserve">n anul 2019, ANSP a acordat o atenție deosebită creșterii capacităților profesionale ale specialiștilor autorizați cu drept de control de stat în sănătate publică. Astfel, au fost organizate 4  ateliere de instruire la care au participat 80% din numărul total de personal </w:t>
      </w:r>
      <w:r w:rsidR="008F2DF4" w:rsidRPr="00866277">
        <w:rPr>
          <w:lang w:val="ro-RO"/>
        </w:rPr>
        <w:t>autorizați cu drept de control de stat în sănătate publică.</w:t>
      </w:r>
    </w:p>
    <w:p w:rsidR="008F2DF4" w:rsidRPr="00866277" w:rsidRDefault="008F2DF4" w:rsidP="00835BA6">
      <w:pPr>
        <w:widowControl w:val="0"/>
        <w:autoSpaceDE w:val="0"/>
        <w:autoSpaceDN w:val="0"/>
        <w:adjustRightInd w:val="0"/>
        <w:ind w:firstLine="720"/>
        <w:jc w:val="both"/>
        <w:rPr>
          <w:lang w:val="ro-RO"/>
        </w:rPr>
      </w:pPr>
      <w:r w:rsidRPr="00866277">
        <w:rPr>
          <w:lang w:val="ro-RO"/>
        </w:rPr>
        <w:t>De asemenea, specialiștii ANSP au participat la 6 ateliere de instruire  privind organizarea activității de control de stat asupra activității de întreprinzător în domeniul protecției consumatorilor:</w:t>
      </w:r>
    </w:p>
    <w:p w:rsidR="008F2DF4" w:rsidRPr="00866277" w:rsidRDefault="008F2DF4" w:rsidP="00835BA6">
      <w:pPr>
        <w:widowControl w:val="0"/>
        <w:autoSpaceDE w:val="0"/>
        <w:autoSpaceDN w:val="0"/>
        <w:adjustRightInd w:val="0"/>
        <w:ind w:firstLine="720"/>
        <w:jc w:val="both"/>
        <w:rPr>
          <w:lang w:val="ro-RO"/>
        </w:rPr>
      </w:pPr>
      <w:r w:rsidRPr="00866277">
        <w:rPr>
          <w:lang w:val="ro-RO"/>
        </w:rPr>
        <w:t>1)</w:t>
      </w:r>
      <w:r w:rsidR="004338BD">
        <w:rPr>
          <w:lang w:val="ro-RO"/>
        </w:rPr>
        <w:t xml:space="preserve"> </w:t>
      </w:r>
      <w:r w:rsidRPr="00866277">
        <w:rPr>
          <w:lang w:val="ro-RO"/>
        </w:rPr>
        <w:t xml:space="preserve">,,Suport pentru cadrul infrastructurii calității în contextul DCFTA în RM, Directiva privind practicile neloiale și </w:t>
      </w:r>
      <w:proofErr w:type="spellStart"/>
      <w:r w:rsidRPr="00866277">
        <w:rPr>
          <w:lang w:val="ro-RO"/>
        </w:rPr>
        <w:t>implimentarea</w:t>
      </w:r>
      <w:proofErr w:type="spellEnd"/>
      <w:r w:rsidRPr="00866277">
        <w:rPr>
          <w:lang w:val="ro-RO"/>
        </w:rPr>
        <w:t xml:space="preserve"> acesteia în RM” (24.06.2019); </w:t>
      </w:r>
    </w:p>
    <w:p w:rsidR="008F2DF4" w:rsidRPr="00866277" w:rsidRDefault="008F2DF4" w:rsidP="00835BA6">
      <w:pPr>
        <w:widowControl w:val="0"/>
        <w:autoSpaceDE w:val="0"/>
        <w:autoSpaceDN w:val="0"/>
        <w:adjustRightInd w:val="0"/>
        <w:ind w:firstLine="720"/>
        <w:jc w:val="both"/>
        <w:rPr>
          <w:lang w:val="ro-RO"/>
        </w:rPr>
      </w:pPr>
      <w:r w:rsidRPr="00866277">
        <w:rPr>
          <w:lang w:val="ro-RO"/>
        </w:rPr>
        <w:t>2)</w:t>
      </w:r>
      <w:r w:rsidR="004338BD">
        <w:rPr>
          <w:lang w:val="ro-RO"/>
        </w:rPr>
        <w:t xml:space="preserve"> </w:t>
      </w:r>
      <w:r w:rsidRPr="00866277">
        <w:rPr>
          <w:lang w:val="ro-RO"/>
        </w:rPr>
        <w:t xml:space="preserve">,,Soluționarea extrajudiciară a litigiilor în materie de consum, cadrul legal și orientării operaționale”, organizat de DCFTA în RM (26.06.2019); </w:t>
      </w:r>
    </w:p>
    <w:p w:rsidR="008F2DF4" w:rsidRPr="00866277" w:rsidRDefault="008F2DF4" w:rsidP="00835BA6">
      <w:pPr>
        <w:widowControl w:val="0"/>
        <w:autoSpaceDE w:val="0"/>
        <w:autoSpaceDN w:val="0"/>
        <w:adjustRightInd w:val="0"/>
        <w:ind w:firstLine="720"/>
        <w:jc w:val="both"/>
        <w:rPr>
          <w:lang w:val="ro-RO"/>
        </w:rPr>
      </w:pPr>
      <w:r w:rsidRPr="00866277">
        <w:rPr>
          <w:lang w:val="ro-RO"/>
        </w:rPr>
        <w:t xml:space="preserve">3) „Directiva privind clauzele abuzive în contractele încheiate cu consumatorii și Directiva privind drepturile consumatorilor” (18.06.2019); </w:t>
      </w:r>
    </w:p>
    <w:p w:rsidR="008F2DF4" w:rsidRPr="00866277" w:rsidRDefault="008F2DF4" w:rsidP="00835BA6">
      <w:pPr>
        <w:widowControl w:val="0"/>
        <w:autoSpaceDE w:val="0"/>
        <w:autoSpaceDN w:val="0"/>
        <w:adjustRightInd w:val="0"/>
        <w:ind w:firstLine="720"/>
        <w:jc w:val="both"/>
        <w:rPr>
          <w:lang w:val="ro-RO"/>
        </w:rPr>
      </w:pPr>
      <w:r w:rsidRPr="00866277">
        <w:rPr>
          <w:lang w:val="ro-RO"/>
        </w:rPr>
        <w:t>4)</w:t>
      </w:r>
      <w:r w:rsidR="004338BD">
        <w:rPr>
          <w:lang w:val="ro-RO"/>
        </w:rPr>
        <w:t xml:space="preserve"> </w:t>
      </w:r>
      <w:r w:rsidRPr="00866277">
        <w:rPr>
          <w:lang w:val="ro-RO"/>
        </w:rPr>
        <w:t xml:space="preserve">,,Obligațiile comercianților privind anumite aspecte ale vânzării de bunuri de consum și garanțiile conexe”, organizat de  DCFTA în RM (20.06.2019); </w:t>
      </w:r>
    </w:p>
    <w:p w:rsidR="008F2DF4" w:rsidRPr="00866277" w:rsidRDefault="008F2DF4" w:rsidP="00835BA6">
      <w:pPr>
        <w:ind w:firstLine="720"/>
        <w:jc w:val="both"/>
        <w:rPr>
          <w:lang w:val="ro-RO"/>
        </w:rPr>
      </w:pPr>
      <w:r w:rsidRPr="00866277">
        <w:rPr>
          <w:lang w:val="ro-RO"/>
        </w:rPr>
        <w:t>5)</w:t>
      </w:r>
      <w:r w:rsidR="004338BD">
        <w:rPr>
          <w:lang w:val="ro-RO"/>
        </w:rPr>
        <w:t xml:space="preserve"> </w:t>
      </w:r>
      <w:r w:rsidRPr="00866277">
        <w:rPr>
          <w:lang w:val="ro-RO"/>
        </w:rPr>
        <w:t>,,Practici care induc în eroare (lista neagră a 23 de practici înșelătoare)</w:t>
      </w:r>
      <w:r w:rsidR="004338BD">
        <w:rPr>
          <w:lang w:val="ro-RO"/>
        </w:rPr>
        <w:t xml:space="preserve"> </w:t>
      </w:r>
      <w:r w:rsidRPr="00866277">
        <w:rPr>
          <w:lang w:val="ro-RO"/>
        </w:rPr>
        <w:t>-</w:t>
      </w:r>
      <w:r w:rsidR="004338BD">
        <w:rPr>
          <w:lang w:val="ro-RO"/>
        </w:rPr>
        <w:t xml:space="preserve"> </w:t>
      </w:r>
      <w:r w:rsidRPr="00866277">
        <w:rPr>
          <w:lang w:val="ro-RO"/>
        </w:rPr>
        <w:t>cazuri”, organizat de  DCFTA în RM (21.06.2019);</w:t>
      </w:r>
    </w:p>
    <w:p w:rsidR="00E83E7E" w:rsidRPr="00866277" w:rsidRDefault="008F2DF4" w:rsidP="00835BA6">
      <w:pPr>
        <w:ind w:firstLine="720"/>
        <w:jc w:val="both"/>
        <w:rPr>
          <w:lang w:val="ro-RO"/>
        </w:rPr>
      </w:pPr>
      <w:r w:rsidRPr="00866277">
        <w:rPr>
          <w:lang w:val="ro-RO"/>
        </w:rPr>
        <w:t>6)</w:t>
      </w:r>
      <w:r w:rsidR="004338BD">
        <w:rPr>
          <w:lang w:val="ro-RO"/>
        </w:rPr>
        <w:t xml:space="preserve"> </w:t>
      </w:r>
      <w:r w:rsidRPr="00866277">
        <w:rPr>
          <w:lang w:val="ro-RO"/>
        </w:rPr>
        <w:t>,,Cerințele directivei 93/42/CEE privind dispozitivele medicale și ale directivei 98/79/CE privind dispozitivele medicale pentru diagnostic în vitro”, organizat de  DCFTA în RM  (24.09.2019).</w:t>
      </w:r>
    </w:p>
    <w:p w:rsidR="00E83E7E" w:rsidRPr="00866277" w:rsidRDefault="00E83E7E" w:rsidP="00D21B0A">
      <w:pPr>
        <w:ind w:right="90" w:firstLine="720"/>
        <w:jc w:val="both"/>
        <w:rPr>
          <w:lang w:val="ro-RO"/>
        </w:rPr>
      </w:pPr>
    </w:p>
    <w:p w:rsidR="00064437" w:rsidRPr="00866277" w:rsidRDefault="000C1FBE" w:rsidP="00835BA6">
      <w:pPr>
        <w:ind w:firstLine="720"/>
        <w:jc w:val="both"/>
        <w:rPr>
          <w:lang w:val="ro-RO"/>
        </w:rPr>
      </w:pPr>
      <w:r w:rsidRPr="00866277">
        <w:rPr>
          <w:lang w:val="ro-RO"/>
        </w:rPr>
        <w:t xml:space="preserve">În cadrul acțiunii </w:t>
      </w:r>
      <w:r w:rsidRPr="00866277">
        <w:rPr>
          <w:rFonts w:eastAsia="Times New Roman"/>
          <w:bCs/>
          <w:lang w:val="ro-RO"/>
        </w:rPr>
        <w:t>(</w:t>
      </w:r>
      <w:r w:rsidRPr="00866277">
        <w:rPr>
          <w:b/>
          <w:bCs/>
          <w:iCs/>
          <w:lang w:val="ro-RO" w:eastAsia="ru-RU"/>
        </w:rPr>
        <w:t>pct.</w:t>
      </w:r>
      <w:r w:rsidRPr="00866277">
        <w:rPr>
          <w:b/>
          <w:lang w:val="ro-RO"/>
        </w:rPr>
        <w:t xml:space="preserve"> 1.2.12</w:t>
      </w:r>
      <w:r w:rsidRPr="00866277">
        <w:rPr>
          <w:rFonts w:eastAsia="Times New Roman"/>
          <w:bCs/>
          <w:lang w:val="ro-RO"/>
        </w:rPr>
        <w:t>)</w:t>
      </w:r>
      <w:r w:rsidRPr="00866277">
        <w:rPr>
          <w:lang w:val="ro-RO"/>
        </w:rPr>
        <w:t xml:space="preserve"> </w:t>
      </w:r>
      <w:r w:rsidRPr="00866277">
        <w:rPr>
          <w:i/>
          <w:u w:val="single"/>
          <w:lang w:val="ro-RO"/>
        </w:rPr>
        <w:t xml:space="preserve">privind sensibilizarea prin informare </w:t>
      </w:r>
      <w:proofErr w:type="spellStart"/>
      <w:r w:rsidRPr="00866277">
        <w:rPr>
          <w:i/>
          <w:u w:val="single"/>
          <w:lang w:val="ro-RO"/>
        </w:rPr>
        <w:t>şi</w:t>
      </w:r>
      <w:proofErr w:type="spellEnd"/>
      <w:r w:rsidRPr="00866277">
        <w:rPr>
          <w:i/>
          <w:u w:val="single"/>
          <w:lang w:val="ro-RO"/>
        </w:rPr>
        <w:t xml:space="preserve"> instruire a </w:t>
      </w:r>
      <w:r w:rsidR="003B06A2" w:rsidRPr="00866277">
        <w:rPr>
          <w:i/>
          <w:u w:val="single"/>
          <w:lang w:val="ro-RO"/>
        </w:rPr>
        <w:t>organizațiilor</w:t>
      </w:r>
      <w:r w:rsidRPr="00866277">
        <w:rPr>
          <w:i/>
          <w:u w:val="single"/>
          <w:lang w:val="ro-RO"/>
        </w:rPr>
        <w:t xml:space="preserve"> </w:t>
      </w:r>
      <w:r w:rsidR="003B06A2" w:rsidRPr="00866277">
        <w:rPr>
          <w:i/>
          <w:u w:val="single"/>
          <w:lang w:val="ro-RO"/>
        </w:rPr>
        <w:t>obștești</w:t>
      </w:r>
      <w:r w:rsidRPr="00866277">
        <w:rPr>
          <w:i/>
          <w:u w:val="single"/>
          <w:lang w:val="ro-RO"/>
        </w:rPr>
        <w:t xml:space="preserve"> privind înregistrarea cazurilor de încălcări pe </w:t>
      </w:r>
      <w:r w:rsidR="003B06A2" w:rsidRPr="00866277">
        <w:rPr>
          <w:i/>
          <w:u w:val="single"/>
          <w:lang w:val="ro-RO"/>
        </w:rPr>
        <w:t>piață</w:t>
      </w:r>
      <w:r w:rsidRPr="00866277">
        <w:rPr>
          <w:lang w:val="ro-RO"/>
        </w:rPr>
        <w:t xml:space="preserve"> </w:t>
      </w:r>
      <w:r w:rsidR="008B36F0" w:rsidRPr="00866277">
        <w:rPr>
          <w:lang w:val="ro-RO" w:eastAsia="ro-RO" w:bidi="ro-RO"/>
        </w:rPr>
        <w:t>APCSP</w:t>
      </w:r>
      <w:r w:rsidRPr="00866277">
        <w:rPr>
          <w:lang w:val="ro-RO"/>
        </w:rPr>
        <w:t xml:space="preserve">, </w:t>
      </w:r>
      <w:r w:rsidR="00064437" w:rsidRPr="00866277">
        <w:rPr>
          <w:lang w:val="ro-RO"/>
        </w:rPr>
        <w:t>în cadrul conferinței organizată la 15 Martie 2019, consacrată Zilei Mondiale a Drepturilor Consumatorilor,</w:t>
      </w:r>
      <w:r w:rsidR="00064437" w:rsidRPr="00866277">
        <w:rPr>
          <w:b/>
          <w:lang w:val="ro-RO"/>
        </w:rPr>
        <w:t xml:space="preserve"> </w:t>
      </w:r>
      <w:r w:rsidR="00064437" w:rsidRPr="00866277">
        <w:rPr>
          <w:lang w:val="ro-RO"/>
        </w:rPr>
        <w:t xml:space="preserve">cu genericul </w:t>
      </w:r>
      <w:r w:rsidR="00064437" w:rsidRPr="00294A9D">
        <w:rPr>
          <w:lang w:val="ro-RO"/>
        </w:rPr>
        <w:t>„</w:t>
      </w:r>
      <w:r w:rsidR="00064437" w:rsidRPr="00866277">
        <w:rPr>
          <w:i/>
          <w:lang w:val="ro-RO"/>
        </w:rPr>
        <w:t xml:space="preserve">Produse </w:t>
      </w:r>
      <w:proofErr w:type="spellStart"/>
      <w:r w:rsidR="00064437" w:rsidRPr="00866277">
        <w:rPr>
          <w:i/>
          <w:lang w:val="ro-RO"/>
        </w:rPr>
        <w:t>Smart</w:t>
      </w:r>
      <w:proofErr w:type="spellEnd"/>
      <w:r w:rsidR="00064437" w:rsidRPr="00866277">
        <w:rPr>
          <w:i/>
          <w:lang w:val="ro-RO"/>
        </w:rPr>
        <w:t xml:space="preserve"> de Încredere (</w:t>
      </w:r>
      <w:proofErr w:type="spellStart"/>
      <w:r w:rsidR="00064437" w:rsidRPr="00866277">
        <w:rPr>
          <w:i/>
          <w:lang w:val="ro-RO"/>
        </w:rPr>
        <w:t>Trusted</w:t>
      </w:r>
      <w:proofErr w:type="spellEnd"/>
      <w:r w:rsidR="00064437" w:rsidRPr="00866277">
        <w:rPr>
          <w:i/>
          <w:lang w:val="ro-RO"/>
        </w:rPr>
        <w:t xml:space="preserve"> </w:t>
      </w:r>
      <w:proofErr w:type="spellStart"/>
      <w:r w:rsidR="00064437" w:rsidRPr="00866277">
        <w:rPr>
          <w:i/>
          <w:lang w:val="ro-RO"/>
        </w:rPr>
        <w:t>Smart</w:t>
      </w:r>
      <w:proofErr w:type="spellEnd"/>
      <w:r w:rsidR="00064437" w:rsidRPr="00866277">
        <w:rPr>
          <w:i/>
          <w:lang w:val="ro-RO"/>
        </w:rPr>
        <w:t xml:space="preserve"> </w:t>
      </w:r>
      <w:proofErr w:type="spellStart"/>
      <w:r w:rsidR="00064437" w:rsidRPr="00866277">
        <w:rPr>
          <w:i/>
          <w:lang w:val="ro-RO"/>
        </w:rPr>
        <w:t>Products</w:t>
      </w:r>
      <w:proofErr w:type="spellEnd"/>
      <w:r w:rsidR="00064437" w:rsidRPr="00866277">
        <w:rPr>
          <w:i/>
          <w:lang w:val="ro-RO"/>
        </w:rPr>
        <w:t>)</w:t>
      </w:r>
      <w:r w:rsidR="00064437" w:rsidRPr="00294A9D">
        <w:rPr>
          <w:lang w:val="ro-RO"/>
        </w:rPr>
        <w:t>"</w:t>
      </w:r>
      <w:r w:rsidR="00064437" w:rsidRPr="00866277">
        <w:rPr>
          <w:lang w:val="ro-RO"/>
        </w:rPr>
        <w:t>, care a avut drept scop sensibilizarea și informarea publicului larg, au participat și reprezentanții Asociației obștești de protecție a consumatorilor (Centrul pentru Protecția Consumatorilor), care au fost informați despre  încălcările admise de către mediul de afaceri în relații cu consumatorii, cu scopul de a se implica mai activ în activitatea de protecție a consumatorilor prin informare.</w:t>
      </w:r>
    </w:p>
    <w:p w:rsidR="00064437" w:rsidRPr="00866277" w:rsidRDefault="00064437" w:rsidP="00835BA6">
      <w:pPr>
        <w:ind w:firstLine="720"/>
        <w:jc w:val="both"/>
        <w:rPr>
          <w:lang w:val="ro-RO"/>
        </w:rPr>
      </w:pPr>
      <w:r w:rsidRPr="00866277">
        <w:rPr>
          <w:lang w:val="ro-RO"/>
        </w:rPr>
        <w:t>Au fost scoase în evidență încălcările reclamate pe parcursul a.</w:t>
      </w:r>
      <w:r w:rsidR="00294A9D">
        <w:rPr>
          <w:lang w:val="ro-RO"/>
        </w:rPr>
        <w:t xml:space="preserve"> </w:t>
      </w:r>
      <w:r w:rsidRPr="00866277">
        <w:rPr>
          <w:lang w:val="ro-RO"/>
        </w:rPr>
        <w:t>2018 prin 1694 petiții, din care 1164 soluționate conform competențelor, confirmate 493 (42,3%) petiții, 80 (7%) petiții cu măsuri juridice aplicate, 241 soluționate pe cale amiabilă, 174 consumatori care au beneficiat de restituirea contravalorii produselor/serviciilor în sumă de 1091,7 mii lei și 67 consumatori care au primit produsul reparat sau înlocuit cu altul calitativ.</w:t>
      </w:r>
    </w:p>
    <w:p w:rsidR="006F1FBF" w:rsidRPr="00866277" w:rsidRDefault="006F1FBF" w:rsidP="00064437">
      <w:pPr>
        <w:ind w:right="90" w:firstLine="720"/>
        <w:jc w:val="both"/>
        <w:rPr>
          <w:rFonts w:eastAsia="Times New Roman"/>
          <w:b/>
          <w:bCs/>
          <w:lang w:val="ro-RO"/>
        </w:rPr>
      </w:pPr>
    </w:p>
    <w:p w:rsidR="0065583F" w:rsidRPr="00866277" w:rsidRDefault="0065583F" w:rsidP="00D21B0A">
      <w:pPr>
        <w:ind w:firstLine="720"/>
        <w:jc w:val="both"/>
        <w:rPr>
          <w:rFonts w:eastAsia="Times New Roman"/>
          <w:b/>
          <w:bCs/>
          <w:lang w:val="ro-RO"/>
        </w:rPr>
      </w:pPr>
      <w:r w:rsidRPr="00866277">
        <w:rPr>
          <w:rFonts w:eastAsia="Times New Roman"/>
          <w:b/>
          <w:bCs/>
          <w:lang w:val="ro-RO"/>
        </w:rPr>
        <w:t xml:space="preserve">1.5. Implementarea bunelor practici de supraveghere a </w:t>
      </w:r>
      <w:r w:rsidR="00AA2F08" w:rsidRPr="00866277">
        <w:rPr>
          <w:rFonts w:eastAsia="Times New Roman"/>
          <w:b/>
          <w:bCs/>
          <w:lang w:val="ro-RO"/>
        </w:rPr>
        <w:t>pieței</w:t>
      </w:r>
    </w:p>
    <w:p w:rsidR="0065583F" w:rsidRPr="00866277" w:rsidRDefault="00862A50">
      <w:pPr>
        <w:ind w:firstLine="720"/>
        <w:jc w:val="both"/>
        <w:rPr>
          <w:lang w:val="ro-RO"/>
        </w:rPr>
      </w:pPr>
      <w:r w:rsidRPr="00866277">
        <w:rPr>
          <w:lang w:val="ro-RO"/>
        </w:rPr>
        <w:t xml:space="preserve">În cadrul </w:t>
      </w:r>
      <w:r w:rsidR="007C0E56" w:rsidRPr="00866277">
        <w:rPr>
          <w:lang w:val="ro-RO"/>
        </w:rPr>
        <w:t>măsurii</w:t>
      </w:r>
      <w:r w:rsidRPr="00866277">
        <w:rPr>
          <w:lang w:val="ro-RO"/>
        </w:rPr>
        <w:t xml:space="preserve"> ,,</w:t>
      </w:r>
      <w:r w:rsidRPr="00866277">
        <w:rPr>
          <w:bCs/>
          <w:lang w:val="ro-RO"/>
        </w:rPr>
        <w:t>Implementarea bunelor practici de supraveghere a pieței</w:t>
      </w:r>
      <w:r w:rsidRPr="00866277">
        <w:rPr>
          <w:lang w:val="ro-RO"/>
        </w:rPr>
        <w:t xml:space="preserve">”, </w:t>
      </w:r>
      <w:r w:rsidR="007C0E56" w:rsidRPr="00866277">
        <w:rPr>
          <w:lang w:val="ro-RO"/>
        </w:rPr>
        <w:t>acțiunea</w:t>
      </w:r>
      <w:r w:rsidRPr="00866277">
        <w:rPr>
          <w:lang w:val="ro-RO"/>
        </w:rPr>
        <w:t xml:space="preserve"> ,,Elaborarea procedurilor specifice privind supravegherea tipurilor concrete de produse</w:t>
      </w:r>
      <w:r w:rsidR="00A153EF" w:rsidRPr="00866277">
        <w:rPr>
          <w:lang w:val="ro-RO"/>
        </w:rPr>
        <w:t>”</w:t>
      </w:r>
      <w:r w:rsidRPr="00866277">
        <w:rPr>
          <w:lang w:val="ro-RO"/>
        </w:rPr>
        <w:t xml:space="preserve"> (</w:t>
      </w:r>
      <w:r w:rsidR="00EF43F0" w:rsidRPr="00866277">
        <w:rPr>
          <w:b/>
          <w:bCs/>
          <w:iCs/>
          <w:lang w:val="ro-RO" w:eastAsia="ru-RU"/>
        </w:rPr>
        <w:t>pct.</w:t>
      </w:r>
      <w:r w:rsidRPr="00866277">
        <w:rPr>
          <w:b/>
          <w:lang w:val="ro-RO"/>
        </w:rPr>
        <w:t>1.5.1</w:t>
      </w:r>
      <w:r w:rsidRPr="00866277">
        <w:rPr>
          <w:lang w:val="ro-RO"/>
        </w:rPr>
        <w:t>)</w:t>
      </w:r>
      <w:r w:rsidR="00031C39" w:rsidRPr="00866277">
        <w:rPr>
          <w:lang w:val="ro-RO"/>
        </w:rPr>
        <w:t>,</w:t>
      </w:r>
      <w:r w:rsidR="007C0E56" w:rsidRPr="00866277">
        <w:rPr>
          <w:lang w:val="ro-RO"/>
        </w:rPr>
        <w:t xml:space="preserve"> </w:t>
      </w:r>
      <w:r w:rsidR="008B36F0" w:rsidRPr="00866277">
        <w:rPr>
          <w:lang w:val="ro-RO" w:eastAsia="ro-RO" w:bidi="ro-RO"/>
        </w:rPr>
        <w:t>APCSP</w:t>
      </w:r>
      <w:r w:rsidR="008B36F0" w:rsidRPr="00866277">
        <w:rPr>
          <w:lang w:val="ro-RO"/>
        </w:rPr>
        <w:t xml:space="preserve"> </w:t>
      </w:r>
      <w:r w:rsidR="007C0E56" w:rsidRPr="003D1BAD">
        <w:rPr>
          <w:lang w:val="ro-RO"/>
        </w:rPr>
        <w:t xml:space="preserve">și </w:t>
      </w:r>
      <w:r w:rsidR="008B36F0" w:rsidRPr="003D1BAD">
        <w:rPr>
          <w:lang w:val="ro-RO" w:eastAsia="ro-RO" w:bidi="ro-RO"/>
        </w:rPr>
        <w:t>AST</w:t>
      </w:r>
      <w:r w:rsidR="008B36F0" w:rsidRPr="00866277">
        <w:rPr>
          <w:lang w:val="ro-RO"/>
        </w:rPr>
        <w:t xml:space="preserve"> </w:t>
      </w:r>
      <w:r w:rsidR="00A153EF" w:rsidRPr="00866277">
        <w:rPr>
          <w:lang w:val="ro-RO"/>
        </w:rPr>
        <w:t>a</w:t>
      </w:r>
      <w:r w:rsidR="007C0E56" w:rsidRPr="00866277">
        <w:rPr>
          <w:lang w:val="ro-RO"/>
        </w:rPr>
        <w:t>u elaborat, aprobat și</w:t>
      </w:r>
      <w:r w:rsidR="003D1BAD">
        <w:rPr>
          <w:lang w:val="ro-RO"/>
        </w:rPr>
        <w:t xml:space="preserve"> au</w:t>
      </w:r>
      <w:r w:rsidR="007C0E56" w:rsidRPr="00866277">
        <w:rPr>
          <w:lang w:val="ro-RO"/>
        </w:rPr>
        <w:t xml:space="preserve"> publicat în Monitorul Oficial listele de verificare care </w:t>
      </w:r>
      <w:r w:rsidR="00AA2F08" w:rsidRPr="00866277">
        <w:rPr>
          <w:lang w:val="ro-RO"/>
        </w:rPr>
        <w:t xml:space="preserve">urmează a fi </w:t>
      </w:r>
      <w:r w:rsidR="00F3402A" w:rsidRPr="00866277">
        <w:rPr>
          <w:lang w:val="ro-RO"/>
        </w:rPr>
        <w:t>aplicate</w:t>
      </w:r>
      <w:r w:rsidR="007C0E56" w:rsidRPr="00866277">
        <w:rPr>
          <w:lang w:val="ro-RO"/>
        </w:rPr>
        <w:t xml:space="preserve"> în cadrul controlului de stat asupra </w:t>
      </w:r>
      <w:r w:rsidR="00EF43F0" w:rsidRPr="00866277">
        <w:rPr>
          <w:lang w:val="ro-RO"/>
        </w:rPr>
        <w:t>activității</w:t>
      </w:r>
      <w:r w:rsidR="007C0E56" w:rsidRPr="00866277">
        <w:rPr>
          <w:lang w:val="ro-RO"/>
        </w:rPr>
        <w:t xml:space="preserve"> de întreprinzător în baza analizei riscurilor, aferent domeniilor de competență, inclusiv pentru domeniul supravegherea pieței. </w:t>
      </w:r>
    </w:p>
    <w:p w:rsidR="00C80D5C" w:rsidRPr="00866277" w:rsidRDefault="00C80D5C" w:rsidP="00E51D6E">
      <w:pPr>
        <w:tabs>
          <w:tab w:val="left" w:pos="34"/>
          <w:tab w:val="left" w:pos="175"/>
        </w:tabs>
        <w:ind w:firstLine="720"/>
        <w:jc w:val="both"/>
        <w:rPr>
          <w:lang w:val="ro-RO"/>
        </w:rPr>
      </w:pPr>
      <w:r w:rsidRPr="00866277">
        <w:rPr>
          <w:lang w:val="ro-RO"/>
        </w:rPr>
        <w:t xml:space="preserve">În general APCSP a elaborat și aprobat 7 Proceduri de control, utilizate în </w:t>
      </w:r>
      <w:r w:rsidR="00D41863">
        <w:rPr>
          <w:lang w:val="ro-RO"/>
        </w:rPr>
        <w:t xml:space="preserve">activitățile de </w:t>
      </w:r>
      <w:r w:rsidRPr="00866277">
        <w:rPr>
          <w:lang w:val="ro-RO"/>
        </w:rPr>
        <w:t>control. Pentru controlul produselor nealimentare/serviciilor și în domeniul metrologic au fost  e</w:t>
      </w:r>
      <w:r w:rsidR="00D41863">
        <w:rPr>
          <w:lang w:val="ro-RO"/>
        </w:rPr>
        <w:t xml:space="preserve">laborate 14 liste de verificare, </w:t>
      </w:r>
      <w:r w:rsidRPr="00866277">
        <w:rPr>
          <w:lang w:val="ro-RO"/>
        </w:rPr>
        <w:t>publicate în Monitorul Ofici</w:t>
      </w:r>
      <w:r w:rsidR="00D41863">
        <w:rPr>
          <w:lang w:val="ro-RO"/>
        </w:rPr>
        <w:t>al și pagina web instituțională și</w:t>
      </w:r>
      <w:r w:rsidRPr="00866277">
        <w:rPr>
          <w:lang w:val="ro-RO"/>
        </w:rPr>
        <w:t xml:space="preserve"> sunt utilizate în  control. Suplimentar, sunt în proces de ajustare 2 liste de verificare, prin completarea cu noile cerințe ale legislației privitor la cazanele de apă si etichetarea energetica și în elaborare 3 liste de verificare privind</w:t>
      </w:r>
      <w:r w:rsidR="00D41863">
        <w:rPr>
          <w:lang w:val="ro-RO"/>
        </w:rPr>
        <w:t xml:space="preserve"> supravegherea jucăriilor. În anul </w:t>
      </w:r>
      <w:r w:rsidRPr="00866277">
        <w:rPr>
          <w:lang w:val="ro-RO"/>
        </w:rPr>
        <w:t>2019, proceduri specifice privind supravegherea  tipurilor concrete de  produse n-au fost elaborate.</w:t>
      </w:r>
    </w:p>
    <w:p w:rsidR="00C80D5C" w:rsidRPr="00866277" w:rsidRDefault="00C80D5C" w:rsidP="00C80D5C">
      <w:pPr>
        <w:ind w:firstLine="720"/>
        <w:jc w:val="both"/>
        <w:rPr>
          <w:lang w:val="ro-RO"/>
        </w:rPr>
      </w:pPr>
      <w:r w:rsidRPr="00866277">
        <w:rPr>
          <w:lang w:val="ro-RO"/>
        </w:rPr>
        <w:lastRenderedPageBreak/>
        <w:t>Pentru controlul produselor industriale au fost  elaborate 9 Liste de verificare, care sunt utilizate în  control.</w:t>
      </w:r>
    </w:p>
    <w:p w:rsidR="00C55528" w:rsidRPr="00866277" w:rsidRDefault="00C55528" w:rsidP="00A153EF">
      <w:pPr>
        <w:ind w:firstLine="720"/>
        <w:jc w:val="both"/>
        <w:rPr>
          <w:lang w:val="ro-RO"/>
        </w:rPr>
      </w:pPr>
    </w:p>
    <w:p w:rsidR="00D41863" w:rsidRDefault="007C0E56" w:rsidP="00D41863">
      <w:pPr>
        <w:ind w:firstLine="720"/>
        <w:jc w:val="both"/>
        <w:rPr>
          <w:lang w:val="ro-RO"/>
        </w:rPr>
      </w:pPr>
      <w:r w:rsidRPr="00866277">
        <w:rPr>
          <w:lang w:val="ro-RO"/>
        </w:rPr>
        <w:t xml:space="preserve">Întru implementarea acțiunii </w:t>
      </w:r>
      <w:r w:rsidRPr="00294A9D">
        <w:rPr>
          <w:lang w:val="ro-RO"/>
        </w:rPr>
        <w:t>„</w:t>
      </w:r>
      <w:r w:rsidRPr="00866277">
        <w:rPr>
          <w:i/>
          <w:lang w:val="ro-RO"/>
        </w:rPr>
        <w:t>Instruirea personalului autorităților de supraveghere a pieței</w:t>
      </w:r>
      <w:r w:rsidRPr="00294A9D">
        <w:rPr>
          <w:lang w:val="ro-RO"/>
        </w:rPr>
        <w:t>”</w:t>
      </w:r>
      <w:r w:rsidRPr="00866277">
        <w:rPr>
          <w:i/>
          <w:lang w:val="ro-RO"/>
        </w:rPr>
        <w:t xml:space="preserve"> </w:t>
      </w:r>
      <w:r w:rsidRPr="00866277">
        <w:rPr>
          <w:lang w:val="ro-RO"/>
        </w:rPr>
        <w:t>(</w:t>
      </w:r>
      <w:r w:rsidR="00EF43F0" w:rsidRPr="00866277">
        <w:rPr>
          <w:b/>
          <w:bCs/>
          <w:iCs/>
          <w:lang w:val="ro-RO" w:eastAsia="ru-RU"/>
        </w:rPr>
        <w:t>pct.</w:t>
      </w:r>
      <w:r w:rsidRPr="00866277">
        <w:rPr>
          <w:b/>
          <w:lang w:val="ro-RO"/>
        </w:rPr>
        <w:t>1.5.2</w:t>
      </w:r>
      <w:r w:rsidRPr="00866277">
        <w:rPr>
          <w:lang w:val="ro-RO"/>
        </w:rPr>
        <w:t xml:space="preserve">), </w:t>
      </w:r>
      <w:r w:rsidR="00C1095C" w:rsidRPr="00866277">
        <w:rPr>
          <w:lang w:val="ro-RO"/>
        </w:rPr>
        <w:t xml:space="preserve">în principal Ministerul Economiei și Infrastructurii a </w:t>
      </w:r>
      <w:proofErr w:type="spellStart"/>
      <w:r w:rsidR="00C1095C" w:rsidRPr="00866277">
        <w:rPr>
          <w:lang w:val="ro-RO"/>
        </w:rPr>
        <w:t>ogranizat</w:t>
      </w:r>
      <w:proofErr w:type="spellEnd"/>
      <w:r w:rsidR="00C1095C" w:rsidRPr="00866277">
        <w:rPr>
          <w:lang w:val="ro-RO"/>
        </w:rPr>
        <w:t xml:space="preserve"> cursul de instruire „Cooperarea între autoritățile de supraveghere a pieței și </w:t>
      </w:r>
      <w:r w:rsidR="00D41863">
        <w:rPr>
          <w:lang w:val="ro-RO"/>
        </w:rPr>
        <w:t>Serviciul Vamal privind siguranț</w:t>
      </w:r>
      <w:r w:rsidR="00C1095C" w:rsidRPr="00866277">
        <w:rPr>
          <w:lang w:val="ro-RO"/>
        </w:rPr>
        <w:t>a produselor care intră pe piața RM”, organizat în cadrul proiectului UE „Asistența“ tehnică pentru implementarea DCFTA”, dedicate autorităților de supraveghere a pieței</w:t>
      </w:r>
      <w:r w:rsidR="00D41863">
        <w:rPr>
          <w:lang w:val="ro-RO"/>
        </w:rPr>
        <w:t>.</w:t>
      </w:r>
    </w:p>
    <w:p w:rsidR="0068633A" w:rsidRPr="00866277" w:rsidRDefault="00F10786" w:rsidP="00D41863">
      <w:pPr>
        <w:ind w:firstLine="720"/>
        <w:jc w:val="both"/>
        <w:rPr>
          <w:lang w:val="ro-RO"/>
        </w:rPr>
      </w:pPr>
      <w:r w:rsidRPr="00866277">
        <w:rPr>
          <w:lang w:val="ro-RO"/>
        </w:rPr>
        <w:t xml:space="preserve">Totodată, pentru APCSP </w:t>
      </w:r>
      <w:r w:rsidR="0068633A" w:rsidRPr="00866277">
        <w:rPr>
          <w:lang w:val="ro-RO"/>
        </w:rPr>
        <w:t xml:space="preserve">au fost organizate </w:t>
      </w:r>
      <w:r w:rsidR="0068633A" w:rsidRPr="00866277">
        <w:rPr>
          <w:b/>
          <w:lang w:val="ro-RO"/>
        </w:rPr>
        <w:t xml:space="preserve">57 instruiri </w:t>
      </w:r>
      <w:r w:rsidR="0068633A" w:rsidRPr="00866277">
        <w:rPr>
          <w:lang w:val="ro-RO"/>
        </w:rPr>
        <w:t>interne și externe pentru dezvoltarea capacităților profesionale ale angajaților, pe diferite tematici de competență, la care a participat  tot personalul APCSP (inclusiv personalul care a demisionat)</w:t>
      </w:r>
      <w:r w:rsidR="00D41863">
        <w:rPr>
          <w:lang w:val="ro-RO"/>
        </w:rPr>
        <w:t>, după cum urmează</w:t>
      </w:r>
      <w:r w:rsidR="0068633A" w:rsidRPr="00866277">
        <w:rPr>
          <w:lang w:val="ro-RO"/>
        </w:rPr>
        <w:t xml:space="preserve">: </w:t>
      </w:r>
    </w:p>
    <w:p w:rsidR="0068633A" w:rsidRPr="00866277" w:rsidRDefault="0068633A" w:rsidP="0068633A">
      <w:pPr>
        <w:ind w:firstLine="461"/>
        <w:jc w:val="both"/>
        <w:rPr>
          <w:noProof/>
          <w:lang w:val="ro-RO"/>
        </w:rPr>
      </w:pPr>
      <w:r w:rsidRPr="00866277">
        <w:rPr>
          <w:noProof/>
          <w:lang w:val="ro-RO"/>
        </w:rPr>
        <w:sym w:font="Symbol" w:char="F0B7"/>
      </w:r>
      <w:r w:rsidRPr="00866277">
        <w:rPr>
          <w:noProof/>
          <w:lang w:val="ro-RO"/>
        </w:rPr>
        <w:t xml:space="preserve"> 12 instruiri interne la locul de muncă; </w:t>
      </w:r>
    </w:p>
    <w:p w:rsidR="0068633A" w:rsidRPr="00866277" w:rsidRDefault="0068633A" w:rsidP="0068633A">
      <w:pPr>
        <w:ind w:firstLine="461"/>
        <w:jc w:val="both"/>
        <w:rPr>
          <w:noProof/>
          <w:lang w:val="ro-RO"/>
        </w:rPr>
      </w:pPr>
      <w:r w:rsidRPr="00866277">
        <w:rPr>
          <w:noProof/>
          <w:lang w:val="ro-RO"/>
        </w:rPr>
        <w:sym w:font="Symbol" w:char="F0B7"/>
      </w:r>
      <w:r w:rsidRPr="00866277">
        <w:rPr>
          <w:noProof/>
          <w:lang w:val="ro-RO"/>
        </w:rPr>
        <w:t xml:space="preserve"> 24 instruiri la locul de muncă cu suportul altor autorități; </w:t>
      </w:r>
    </w:p>
    <w:p w:rsidR="0068633A" w:rsidRPr="00866277" w:rsidRDefault="0068633A" w:rsidP="0068633A">
      <w:pPr>
        <w:ind w:firstLine="461"/>
        <w:jc w:val="both"/>
        <w:rPr>
          <w:noProof/>
          <w:lang w:val="ro-RO"/>
        </w:rPr>
      </w:pPr>
      <w:r w:rsidRPr="00866277">
        <w:rPr>
          <w:noProof/>
          <w:lang w:val="ro-RO"/>
        </w:rPr>
        <w:sym w:font="Symbol" w:char="F0B7"/>
      </w:r>
      <w:r w:rsidRPr="00866277">
        <w:rPr>
          <w:noProof/>
          <w:lang w:val="ro-RO"/>
        </w:rPr>
        <w:t xml:space="preserve"> 6 instruiri organizate de alte autorități;</w:t>
      </w:r>
    </w:p>
    <w:p w:rsidR="0068633A" w:rsidRPr="00866277" w:rsidRDefault="0068633A" w:rsidP="0068633A">
      <w:pPr>
        <w:ind w:firstLine="461"/>
        <w:jc w:val="both"/>
        <w:rPr>
          <w:noProof/>
          <w:lang w:val="ro-RO"/>
        </w:rPr>
      </w:pPr>
      <w:r w:rsidRPr="00866277">
        <w:rPr>
          <w:noProof/>
          <w:lang w:val="ro-RO"/>
        </w:rPr>
        <w:sym w:font="Symbol" w:char="F0B7"/>
      </w:r>
      <w:r w:rsidRPr="00866277">
        <w:rPr>
          <w:noProof/>
          <w:lang w:val="ro-RO"/>
        </w:rPr>
        <w:t xml:space="preserve"> 7 instruiri în cadrul AAP;</w:t>
      </w:r>
    </w:p>
    <w:p w:rsidR="0068633A" w:rsidRPr="00866277" w:rsidRDefault="0068633A" w:rsidP="0068633A">
      <w:pPr>
        <w:ind w:firstLine="461"/>
        <w:jc w:val="both"/>
        <w:rPr>
          <w:noProof/>
          <w:lang w:val="ro-RO"/>
        </w:rPr>
      </w:pPr>
      <w:r w:rsidRPr="00866277">
        <w:rPr>
          <w:noProof/>
          <w:lang w:val="ro-RO"/>
        </w:rPr>
        <w:sym w:font="Symbol" w:char="F0B7"/>
      </w:r>
      <w:r w:rsidRPr="00866277">
        <w:rPr>
          <w:noProof/>
          <w:lang w:val="ro-RO"/>
        </w:rPr>
        <w:t xml:space="preserve"> 8 instruiri organizate în cadrul Proiectului DCFTA.</w:t>
      </w:r>
    </w:p>
    <w:p w:rsidR="0068633A" w:rsidRPr="00866277" w:rsidRDefault="0068633A" w:rsidP="00F10786">
      <w:pPr>
        <w:tabs>
          <w:tab w:val="left" w:pos="176"/>
          <w:tab w:val="left" w:pos="567"/>
          <w:tab w:val="left" w:pos="709"/>
          <w:tab w:val="left" w:pos="1276"/>
          <w:tab w:val="left" w:pos="1843"/>
          <w:tab w:val="left" w:pos="2410"/>
          <w:tab w:val="left" w:pos="2977"/>
          <w:tab w:val="left" w:pos="3686"/>
          <w:tab w:val="left" w:pos="5194"/>
          <w:tab w:val="left" w:pos="5529"/>
          <w:tab w:val="left" w:pos="5954"/>
          <w:tab w:val="left" w:pos="6096"/>
        </w:tabs>
        <w:ind w:firstLine="720"/>
        <w:jc w:val="both"/>
        <w:rPr>
          <w:lang w:val="ro-RO"/>
        </w:rPr>
      </w:pPr>
      <w:r w:rsidRPr="00866277">
        <w:rPr>
          <w:lang w:val="ro-RO"/>
        </w:rPr>
        <w:t>Tematicile  instruirilor</w:t>
      </w:r>
      <w:r w:rsidR="00D41863">
        <w:rPr>
          <w:lang w:val="ro-RO"/>
        </w:rPr>
        <w:t xml:space="preserve"> au întocmite  </w:t>
      </w:r>
      <w:r w:rsidRPr="00866277">
        <w:rPr>
          <w:lang w:val="ro-RO"/>
        </w:rPr>
        <w:t>conform Listei subiectelor pentru instruire elaborate de Serviciul Resurse Umane. Angajații  APCSP sunt instruiți permanent și multilateral. După absolvirea cursurilor, instruirile sunt confirmate prin certificate de instruire/liste de participare.</w:t>
      </w:r>
    </w:p>
    <w:p w:rsidR="00A9356B" w:rsidRPr="00D41863" w:rsidRDefault="00D41863" w:rsidP="00D41863">
      <w:pPr>
        <w:ind w:firstLine="720"/>
        <w:jc w:val="both"/>
        <w:rPr>
          <w:lang w:val="ro-RO"/>
        </w:rPr>
      </w:pPr>
      <w:r>
        <w:rPr>
          <w:lang w:val="ro-RO"/>
        </w:rPr>
        <w:t xml:space="preserve">În cursul anului precedent </w:t>
      </w:r>
      <w:r w:rsidR="00A9356B" w:rsidRPr="00D41863">
        <w:rPr>
          <w:lang w:val="ro-RO"/>
        </w:rPr>
        <w:t>ANRE a asigurat instruirea a 2 persoane.</w:t>
      </w:r>
    </w:p>
    <w:p w:rsidR="001C48D7" w:rsidRPr="00D41863" w:rsidRDefault="001C48D7" w:rsidP="00D41863">
      <w:pPr>
        <w:ind w:firstLine="720"/>
        <w:jc w:val="both"/>
        <w:rPr>
          <w:lang w:val="ro-RO"/>
        </w:rPr>
      </w:pPr>
      <w:r w:rsidRPr="00D41863">
        <w:rPr>
          <w:lang w:val="ro-RO"/>
        </w:rPr>
        <w:t>Personalul AST a fost asigurat măsuri  de instruire prin participarea la</w:t>
      </w:r>
      <w:r w:rsidR="004338BD">
        <w:rPr>
          <w:lang w:val="ro-RO"/>
        </w:rPr>
        <w:t xml:space="preserve"> </w:t>
      </w:r>
      <w:proofErr w:type="spellStart"/>
      <w:r w:rsidR="004338BD">
        <w:rPr>
          <w:lang w:val="en-US"/>
        </w:rPr>
        <w:t>a</w:t>
      </w:r>
      <w:r w:rsidR="004338BD">
        <w:rPr>
          <w:lang w:val="en-US"/>
        </w:rPr>
        <w:t>telier</w:t>
      </w:r>
      <w:r w:rsidR="004338BD">
        <w:rPr>
          <w:lang w:val="en-US"/>
        </w:rPr>
        <w:t>e</w:t>
      </w:r>
      <w:proofErr w:type="spellEnd"/>
      <w:r w:rsidR="004338BD">
        <w:rPr>
          <w:lang w:val="en-US"/>
        </w:rPr>
        <w:t xml:space="preserve"> de </w:t>
      </w:r>
      <w:proofErr w:type="spellStart"/>
      <w:r w:rsidR="004338BD">
        <w:rPr>
          <w:lang w:val="en-US"/>
        </w:rPr>
        <w:t>lu</w:t>
      </w:r>
      <w:r w:rsidR="004338BD">
        <w:rPr>
          <w:lang w:val="en-US"/>
        </w:rPr>
        <w:t>cru</w:t>
      </w:r>
      <w:proofErr w:type="spellEnd"/>
      <w:r w:rsidRPr="00D41863">
        <w:rPr>
          <w:lang w:val="ro-RO"/>
        </w:rPr>
        <w:t>:</w:t>
      </w:r>
    </w:p>
    <w:p w:rsidR="001C48D7" w:rsidRPr="00D41863" w:rsidRDefault="00D41863" w:rsidP="00D41863">
      <w:pPr>
        <w:tabs>
          <w:tab w:val="left" w:pos="6195"/>
        </w:tabs>
        <w:ind w:firstLine="720"/>
        <w:jc w:val="both"/>
        <w:rPr>
          <w:lang w:val="en-US"/>
        </w:rPr>
      </w:pPr>
      <w:r>
        <w:rPr>
          <w:lang w:val="en-US"/>
        </w:rPr>
        <w:t>1) „</w:t>
      </w:r>
      <w:proofErr w:type="spellStart"/>
      <w:r w:rsidR="001C48D7" w:rsidRPr="00D41863">
        <w:rPr>
          <w:lang w:val="en-US"/>
        </w:rPr>
        <w:t>Abordarea</w:t>
      </w:r>
      <w:proofErr w:type="spellEnd"/>
      <w:r w:rsidR="001C48D7" w:rsidRPr="00D41863">
        <w:rPr>
          <w:lang w:val="en-US"/>
        </w:rPr>
        <w:t xml:space="preserve"> UE </w:t>
      </w:r>
      <w:proofErr w:type="spellStart"/>
      <w:r w:rsidR="001C48D7" w:rsidRPr="00D41863">
        <w:rPr>
          <w:lang w:val="en-US"/>
        </w:rPr>
        <w:t>în</w:t>
      </w:r>
      <w:proofErr w:type="spellEnd"/>
      <w:r w:rsidR="001C48D7" w:rsidRPr="00D41863">
        <w:rPr>
          <w:lang w:val="en-US"/>
        </w:rPr>
        <w:t xml:space="preserve"> </w:t>
      </w:r>
      <w:proofErr w:type="spellStart"/>
      <w:r w:rsidR="001C48D7" w:rsidRPr="00D41863">
        <w:rPr>
          <w:lang w:val="en-US"/>
        </w:rPr>
        <w:t>domeniul</w:t>
      </w:r>
      <w:proofErr w:type="spellEnd"/>
      <w:r w:rsidR="001C48D7" w:rsidRPr="00D41863">
        <w:rPr>
          <w:lang w:val="en-US"/>
        </w:rPr>
        <w:t xml:space="preserve"> </w:t>
      </w:r>
      <w:proofErr w:type="spellStart"/>
      <w:r w:rsidR="001C48D7" w:rsidRPr="00D41863">
        <w:rPr>
          <w:lang w:val="en-US"/>
        </w:rPr>
        <w:t>evaluării</w:t>
      </w:r>
      <w:proofErr w:type="spellEnd"/>
      <w:r w:rsidR="001C48D7" w:rsidRPr="00D41863">
        <w:rPr>
          <w:lang w:val="en-US"/>
        </w:rPr>
        <w:t xml:space="preserve"> </w:t>
      </w:r>
      <w:proofErr w:type="spellStart"/>
      <w:r w:rsidR="001C48D7" w:rsidRPr="00D41863">
        <w:rPr>
          <w:lang w:val="en-US"/>
        </w:rPr>
        <w:t>riscurilor</w:t>
      </w:r>
      <w:proofErr w:type="spellEnd"/>
      <w:r w:rsidR="001C48D7" w:rsidRPr="00D41863">
        <w:rPr>
          <w:lang w:val="en-US"/>
        </w:rPr>
        <w:t xml:space="preserve"> </w:t>
      </w:r>
      <w:proofErr w:type="spellStart"/>
      <w:r w:rsidR="001C48D7" w:rsidRPr="00D41863">
        <w:rPr>
          <w:lang w:val="en-US"/>
        </w:rPr>
        <w:t>pentru</w:t>
      </w:r>
      <w:proofErr w:type="spellEnd"/>
      <w:r w:rsidR="001C48D7" w:rsidRPr="00D41863">
        <w:rPr>
          <w:lang w:val="en-US"/>
        </w:rPr>
        <w:t xml:space="preserve"> </w:t>
      </w:r>
      <w:proofErr w:type="spellStart"/>
      <w:r w:rsidR="001C48D7" w:rsidRPr="00D41863">
        <w:rPr>
          <w:lang w:val="en-US"/>
        </w:rPr>
        <w:t>produsele</w:t>
      </w:r>
      <w:proofErr w:type="spellEnd"/>
      <w:r w:rsidR="001C48D7" w:rsidRPr="00D41863">
        <w:rPr>
          <w:lang w:val="en-US"/>
        </w:rPr>
        <w:t xml:space="preserve"> </w:t>
      </w:r>
      <w:proofErr w:type="spellStart"/>
      <w:r w:rsidR="001C48D7" w:rsidRPr="00D41863">
        <w:rPr>
          <w:lang w:val="en-US"/>
        </w:rPr>
        <w:t>nealimentare</w:t>
      </w:r>
      <w:proofErr w:type="spellEnd"/>
      <w:r w:rsidR="001C48D7" w:rsidRPr="00D41863">
        <w:rPr>
          <w:lang w:val="en-US"/>
        </w:rPr>
        <w:t xml:space="preserve"> </w:t>
      </w:r>
      <w:proofErr w:type="spellStart"/>
      <w:r w:rsidR="001C48D7" w:rsidRPr="00D41863">
        <w:rPr>
          <w:lang w:val="en-US"/>
        </w:rPr>
        <w:t>destinate</w:t>
      </w:r>
      <w:proofErr w:type="spellEnd"/>
      <w:r w:rsidR="001C48D7" w:rsidRPr="00D41863">
        <w:rPr>
          <w:lang w:val="en-US"/>
        </w:rPr>
        <w:t xml:space="preserve"> </w:t>
      </w:r>
      <w:proofErr w:type="spellStart"/>
      <w:r w:rsidR="001C48D7" w:rsidRPr="00D41863">
        <w:rPr>
          <w:lang w:val="en-US"/>
        </w:rPr>
        <w:t>consumatorilor</w:t>
      </w:r>
      <w:proofErr w:type="spellEnd"/>
      <w:r w:rsidR="001C48D7" w:rsidRPr="00D41863">
        <w:rPr>
          <w:lang w:val="en-US"/>
        </w:rPr>
        <w:t xml:space="preserve">” (24-25 </w:t>
      </w:r>
      <w:proofErr w:type="spellStart"/>
      <w:r w:rsidR="001C48D7" w:rsidRPr="00D41863">
        <w:rPr>
          <w:lang w:val="en-US"/>
        </w:rPr>
        <w:t>aprilie</w:t>
      </w:r>
      <w:proofErr w:type="spellEnd"/>
      <w:r w:rsidR="001C48D7" w:rsidRPr="00D41863">
        <w:rPr>
          <w:lang w:val="en-US"/>
        </w:rPr>
        <w:t xml:space="preserve"> 2019, </w:t>
      </w:r>
      <w:proofErr w:type="spellStart"/>
      <w:r w:rsidR="001C48D7" w:rsidRPr="00D41863">
        <w:rPr>
          <w:lang w:val="en-US"/>
        </w:rPr>
        <w:t>mun</w:t>
      </w:r>
      <w:proofErr w:type="spellEnd"/>
      <w:r w:rsidR="001C48D7" w:rsidRPr="00D41863">
        <w:rPr>
          <w:lang w:val="en-US"/>
        </w:rPr>
        <w:t xml:space="preserve">. </w:t>
      </w:r>
      <w:proofErr w:type="spellStart"/>
      <w:r w:rsidR="001C48D7" w:rsidRPr="00D41863">
        <w:rPr>
          <w:lang w:val="en-US"/>
        </w:rPr>
        <w:t>Chişinău</w:t>
      </w:r>
      <w:proofErr w:type="spellEnd"/>
      <w:r w:rsidR="001C48D7" w:rsidRPr="00D41863">
        <w:rPr>
          <w:lang w:val="en-US"/>
        </w:rPr>
        <w:t>)</w:t>
      </w:r>
      <w:r>
        <w:rPr>
          <w:lang w:val="en-US"/>
        </w:rPr>
        <w:t xml:space="preserve"> -</w:t>
      </w:r>
      <w:r w:rsidR="001C48D7" w:rsidRPr="00D41863">
        <w:rPr>
          <w:lang w:val="en-US"/>
        </w:rPr>
        <w:t xml:space="preserve"> au </w:t>
      </w:r>
      <w:proofErr w:type="spellStart"/>
      <w:r w:rsidR="001C48D7" w:rsidRPr="00D41863">
        <w:rPr>
          <w:lang w:val="en-US"/>
        </w:rPr>
        <w:t>participat</w:t>
      </w:r>
      <w:proofErr w:type="spellEnd"/>
      <w:r w:rsidR="001C48D7" w:rsidRPr="00D41863">
        <w:rPr>
          <w:lang w:val="en-US"/>
        </w:rPr>
        <w:t xml:space="preserve"> 6 </w:t>
      </w:r>
      <w:proofErr w:type="spellStart"/>
      <w:r w:rsidR="001C48D7" w:rsidRPr="00D41863">
        <w:rPr>
          <w:lang w:val="en-US"/>
        </w:rPr>
        <w:t>persoane</w:t>
      </w:r>
      <w:proofErr w:type="spellEnd"/>
      <w:r w:rsidR="001C48D7" w:rsidRPr="00D41863">
        <w:rPr>
          <w:lang w:val="en-US"/>
        </w:rPr>
        <w:t>.</w:t>
      </w:r>
    </w:p>
    <w:p w:rsidR="001C48D7" w:rsidRPr="00D41863" w:rsidRDefault="001C48D7" w:rsidP="00D41863">
      <w:pPr>
        <w:tabs>
          <w:tab w:val="left" w:pos="0"/>
          <w:tab w:val="left" w:pos="9921"/>
        </w:tabs>
        <w:ind w:firstLine="720"/>
        <w:jc w:val="both"/>
      </w:pPr>
      <w:r w:rsidRPr="00D41863">
        <w:rPr>
          <w:lang w:val="en-US"/>
        </w:rPr>
        <w:t>2)</w:t>
      </w:r>
      <w:r w:rsidR="00D41863">
        <w:rPr>
          <w:lang w:val="en-US"/>
        </w:rPr>
        <w:t xml:space="preserve"> „</w:t>
      </w:r>
      <w:proofErr w:type="spellStart"/>
      <w:r w:rsidRPr="00D41863">
        <w:rPr>
          <w:lang w:val="en-US"/>
        </w:rPr>
        <w:t>Directiva</w:t>
      </w:r>
      <w:proofErr w:type="spellEnd"/>
      <w:r w:rsidRPr="00D41863">
        <w:rPr>
          <w:lang w:val="en-US"/>
        </w:rPr>
        <w:t xml:space="preserve"> </w:t>
      </w:r>
      <w:proofErr w:type="spellStart"/>
      <w:r w:rsidRPr="00D41863">
        <w:rPr>
          <w:lang w:val="en-US"/>
        </w:rPr>
        <w:t>p</w:t>
      </w:r>
      <w:r w:rsidR="00D41863">
        <w:rPr>
          <w:lang w:val="en-US"/>
        </w:rPr>
        <w:t>rivind</w:t>
      </w:r>
      <w:proofErr w:type="spellEnd"/>
      <w:r w:rsidR="00D41863">
        <w:rPr>
          <w:lang w:val="en-US"/>
        </w:rPr>
        <w:t xml:space="preserve"> </w:t>
      </w:r>
      <w:proofErr w:type="spellStart"/>
      <w:r w:rsidR="00D41863">
        <w:rPr>
          <w:lang w:val="en-US"/>
        </w:rPr>
        <w:t>echipamentele</w:t>
      </w:r>
      <w:proofErr w:type="spellEnd"/>
      <w:r w:rsidR="00D41863">
        <w:rPr>
          <w:lang w:val="en-US"/>
        </w:rPr>
        <w:t xml:space="preserve"> </w:t>
      </w:r>
      <w:proofErr w:type="spellStart"/>
      <w:r w:rsidR="00D41863">
        <w:rPr>
          <w:lang w:val="en-US"/>
        </w:rPr>
        <w:t>Tehnice</w:t>
      </w:r>
      <w:proofErr w:type="spellEnd"/>
      <w:r w:rsidR="00D41863">
        <w:rPr>
          <w:lang w:val="en-US"/>
        </w:rPr>
        <w:t>” (</w:t>
      </w:r>
      <w:r w:rsidRPr="00D41863">
        <w:rPr>
          <w:lang w:val="en-US"/>
        </w:rPr>
        <w:t xml:space="preserve">05-06 </w:t>
      </w:r>
      <w:proofErr w:type="spellStart"/>
      <w:r w:rsidRPr="00D41863">
        <w:rPr>
          <w:lang w:val="en-US"/>
        </w:rPr>
        <w:t>iunie</w:t>
      </w:r>
      <w:proofErr w:type="spellEnd"/>
      <w:r w:rsidRPr="00D41863">
        <w:rPr>
          <w:lang w:val="en-US"/>
        </w:rPr>
        <w:t xml:space="preserve"> 2019, </w:t>
      </w:r>
      <w:proofErr w:type="spellStart"/>
      <w:r w:rsidRPr="00D41863">
        <w:rPr>
          <w:lang w:val="en-US"/>
        </w:rPr>
        <w:t>mun</w:t>
      </w:r>
      <w:proofErr w:type="spellEnd"/>
      <w:r w:rsidRPr="00D41863">
        <w:rPr>
          <w:lang w:val="en-US"/>
        </w:rPr>
        <w:t xml:space="preserve">. </w:t>
      </w:r>
      <w:proofErr w:type="spellStart"/>
      <w:r w:rsidR="00D41863">
        <w:t>Chişinău</w:t>
      </w:r>
      <w:proofErr w:type="spellEnd"/>
      <w:r w:rsidR="00D41863">
        <w:t xml:space="preserve">), au </w:t>
      </w:r>
      <w:proofErr w:type="spellStart"/>
      <w:r w:rsidR="00D41863">
        <w:t>participat</w:t>
      </w:r>
      <w:proofErr w:type="spellEnd"/>
      <w:r w:rsidRPr="00D41863">
        <w:t xml:space="preserve"> 6 </w:t>
      </w:r>
      <w:proofErr w:type="spellStart"/>
      <w:r w:rsidRPr="00D41863">
        <w:t>persoane</w:t>
      </w:r>
      <w:proofErr w:type="spellEnd"/>
      <w:r w:rsidRPr="00D41863">
        <w:t>.</w:t>
      </w:r>
    </w:p>
    <w:p w:rsidR="001C48D7" w:rsidRPr="00D41863" w:rsidRDefault="00D41863" w:rsidP="00D41863">
      <w:pPr>
        <w:tabs>
          <w:tab w:val="left" w:pos="6195"/>
        </w:tabs>
        <w:ind w:firstLine="720"/>
        <w:jc w:val="both"/>
      </w:pPr>
      <w:r>
        <w:rPr>
          <w:lang w:val="en-US"/>
        </w:rPr>
        <w:t>3) „</w:t>
      </w:r>
      <w:r w:rsidR="001C48D7" w:rsidRPr="00D41863">
        <w:rPr>
          <w:lang w:val="en-US"/>
        </w:rPr>
        <w:t xml:space="preserve">Acquis UE </w:t>
      </w:r>
      <w:proofErr w:type="spellStart"/>
      <w:r w:rsidR="001C48D7" w:rsidRPr="00D41863">
        <w:rPr>
          <w:lang w:val="en-US"/>
        </w:rPr>
        <w:t>în</w:t>
      </w:r>
      <w:proofErr w:type="spellEnd"/>
      <w:r w:rsidR="001C48D7" w:rsidRPr="00D41863">
        <w:rPr>
          <w:lang w:val="en-US"/>
        </w:rPr>
        <w:t xml:space="preserve"> </w:t>
      </w:r>
      <w:proofErr w:type="spellStart"/>
      <w:r w:rsidR="001C48D7" w:rsidRPr="00D41863">
        <w:rPr>
          <w:lang w:val="en-US"/>
        </w:rPr>
        <w:t>domeniul</w:t>
      </w:r>
      <w:proofErr w:type="spellEnd"/>
      <w:r w:rsidR="001C48D7" w:rsidRPr="00D41863">
        <w:rPr>
          <w:lang w:val="en-US"/>
        </w:rPr>
        <w:t xml:space="preserve"> </w:t>
      </w:r>
      <w:proofErr w:type="spellStart"/>
      <w:r w:rsidR="001C48D7" w:rsidRPr="00D41863">
        <w:rPr>
          <w:lang w:val="en-US"/>
        </w:rPr>
        <w:t>protecției</w:t>
      </w:r>
      <w:proofErr w:type="spellEnd"/>
      <w:r w:rsidR="001C48D7" w:rsidRPr="00D41863">
        <w:rPr>
          <w:lang w:val="en-US"/>
        </w:rPr>
        <w:t xml:space="preserve"> </w:t>
      </w:r>
      <w:proofErr w:type="spellStart"/>
      <w:r w:rsidR="001C48D7" w:rsidRPr="00D41863">
        <w:rPr>
          <w:lang w:val="en-US"/>
        </w:rPr>
        <w:t>consumatorilor</w:t>
      </w:r>
      <w:proofErr w:type="spellEnd"/>
      <w:r w:rsidR="001C48D7" w:rsidRPr="00D41863">
        <w:rPr>
          <w:lang w:val="en-US"/>
        </w:rPr>
        <w:t xml:space="preserve"> </w:t>
      </w:r>
      <w:proofErr w:type="spellStart"/>
      <w:r w:rsidR="001C48D7" w:rsidRPr="00D41863">
        <w:rPr>
          <w:lang w:val="en-US"/>
        </w:rPr>
        <w:t>și</w:t>
      </w:r>
      <w:proofErr w:type="spellEnd"/>
      <w:r w:rsidR="001C48D7" w:rsidRPr="00D41863">
        <w:rPr>
          <w:lang w:val="en-US"/>
        </w:rPr>
        <w:t xml:space="preserve"> </w:t>
      </w:r>
      <w:proofErr w:type="spellStart"/>
      <w:r w:rsidR="001C48D7" w:rsidRPr="00D41863">
        <w:rPr>
          <w:lang w:val="en-US"/>
        </w:rPr>
        <w:t>punerea</w:t>
      </w:r>
      <w:proofErr w:type="spellEnd"/>
      <w:r w:rsidR="001C48D7" w:rsidRPr="00D41863">
        <w:rPr>
          <w:lang w:val="en-US"/>
        </w:rPr>
        <w:t xml:space="preserve"> </w:t>
      </w:r>
      <w:proofErr w:type="spellStart"/>
      <w:r w:rsidR="001C48D7" w:rsidRPr="00D41863">
        <w:rPr>
          <w:lang w:val="en-US"/>
        </w:rPr>
        <w:t>în</w:t>
      </w:r>
      <w:proofErr w:type="spellEnd"/>
      <w:r w:rsidR="001C48D7" w:rsidRPr="00D41863">
        <w:rPr>
          <w:lang w:val="en-US"/>
        </w:rPr>
        <w:t xml:space="preserve"> </w:t>
      </w:r>
      <w:proofErr w:type="spellStart"/>
      <w:r w:rsidR="001C48D7" w:rsidRPr="00D41863">
        <w:rPr>
          <w:lang w:val="en-US"/>
        </w:rPr>
        <w:t>aplicare</w:t>
      </w:r>
      <w:proofErr w:type="spellEnd"/>
      <w:r w:rsidR="001C48D7" w:rsidRPr="00D41863">
        <w:rPr>
          <w:lang w:val="en-US"/>
        </w:rPr>
        <w:t xml:space="preserve"> </w:t>
      </w:r>
      <w:proofErr w:type="spellStart"/>
      <w:r w:rsidR="001C48D7" w:rsidRPr="00D41863">
        <w:rPr>
          <w:lang w:val="en-US"/>
        </w:rPr>
        <w:t>în</w:t>
      </w:r>
      <w:proofErr w:type="spellEnd"/>
      <w:r w:rsidR="001C48D7" w:rsidRPr="00D41863">
        <w:rPr>
          <w:lang w:val="en-US"/>
        </w:rPr>
        <w:t xml:space="preserve"> </w:t>
      </w:r>
      <w:proofErr w:type="spellStart"/>
      <w:r w:rsidR="001C48D7" w:rsidRPr="00D41863">
        <w:rPr>
          <w:lang w:val="en-US"/>
        </w:rPr>
        <w:t>Republica</w:t>
      </w:r>
      <w:proofErr w:type="spellEnd"/>
      <w:r w:rsidR="001C48D7" w:rsidRPr="00D41863">
        <w:rPr>
          <w:lang w:val="en-US"/>
        </w:rPr>
        <w:t xml:space="preserve"> Moldova, </w:t>
      </w:r>
      <w:proofErr w:type="spellStart"/>
      <w:r w:rsidR="001C48D7" w:rsidRPr="00D41863">
        <w:rPr>
          <w:lang w:val="en-US"/>
        </w:rPr>
        <w:t>în</w:t>
      </w:r>
      <w:proofErr w:type="spellEnd"/>
      <w:r w:rsidR="001C48D7" w:rsidRPr="00D41863">
        <w:rPr>
          <w:lang w:val="en-US"/>
        </w:rPr>
        <w:t xml:space="preserve"> </w:t>
      </w:r>
      <w:proofErr w:type="spellStart"/>
      <w:r w:rsidR="001C48D7" w:rsidRPr="00D41863">
        <w:rPr>
          <w:lang w:val="en-US"/>
        </w:rPr>
        <w:t>ceea</w:t>
      </w:r>
      <w:proofErr w:type="spellEnd"/>
      <w:r w:rsidR="001C48D7" w:rsidRPr="00D41863">
        <w:rPr>
          <w:lang w:val="en-US"/>
        </w:rPr>
        <w:t xml:space="preserve"> </w:t>
      </w:r>
      <w:proofErr w:type="spellStart"/>
      <w:r w:rsidR="001C48D7" w:rsidRPr="00D41863">
        <w:rPr>
          <w:lang w:val="en-US"/>
        </w:rPr>
        <w:t>ce</w:t>
      </w:r>
      <w:proofErr w:type="spellEnd"/>
      <w:r w:rsidR="001C48D7" w:rsidRPr="00D41863">
        <w:rPr>
          <w:lang w:val="en-US"/>
        </w:rPr>
        <w:t xml:space="preserve"> </w:t>
      </w:r>
      <w:proofErr w:type="spellStart"/>
      <w:r w:rsidR="001C48D7" w:rsidRPr="00D41863">
        <w:rPr>
          <w:lang w:val="en-US"/>
        </w:rPr>
        <w:t>privește</w:t>
      </w:r>
      <w:proofErr w:type="spellEnd"/>
      <w:r w:rsidR="001C48D7" w:rsidRPr="00D41863">
        <w:rPr>
          <w:lang w:val="en-US"/>
        </w:rPr>
        <w:t xml:space="preserve"> </w:t>
      </w:r>
      <w:proofErr w:type="spellStart"/>
      <w:r w:rsidR="001C48D7" w:rsidRPr="00D41863">
        <w:rPr>
          <w:lang w:val="en-US"/>
        </w:rPr>
        <w:t>Directiva</w:t>
      </w:r>
      <w:proofErr w:type="spellEnd"/>
      <w:r w:rsidR="001C48D7" w:rsidRPr="00D41863">
        <w:rPr>
          <w:lang w:val="en-US"/>
        </w:rPr>
        <w:t xml:space="preserve"> </w:t>
      </w:r>
      <w:proofErr w:type="spellStart"/>
      <w:r w:rsidR="001C48D7" w:rsidRPr="00D41863">
        <w:rPr>
          <w:lang w:val="en-US"/>
        </w:rPr>
        <w:t>privind</w:t>
      </w:r>
      <w:proofErr w:type="spellEnd"/>
      <w:r w:rsidR="001C48D7" w:rsidRPr="00D41863">
        <w:rPr>
          <w:lang w:val="en-US"/>
        </w:rPr>
        <w:t xml:space="preserve"> </w:t>
      </w:r>
      <w:proofErr w:type="spellStart"/>
      <w:r w:rsidR="001C48D7" w:rsidRPr="00D41863">
        <w:rPr>
          <w:lang w:val="en-US"/>
        </w:rPr>
        <w:t>drepturile</w:t>
      </w:r>
      <w:proofErr w:type="spellEnd"/>
      <w:r w:rsidR="001C48D7" w:rsidRPr="00D41863">
        <w:rPr>
          <w:lang w:val="en-US"/>
        </w:rPr>
        <w:t xml:space="preserve"> </w:t>
      </w:r>
      <w:proofErr w:type="spellStart"/>
      <w:r w:rsidR="001C48D7" w:rsidRPr="00D41863">
        <w:rPr>
          <w:lang w:val="en-US"/>
        </w:rPr>
        <w:t>consumatorilor</w:t>
      </w:r>
      <w:proofErr w:type="spellEnd"/>
      <w:r w:rsidR="001C48D7" w:rsidRPr="00D41863">
        <w:rPr>
          <w:lang w:val="en-US"/>
        </w:rPr>
        <w:t xml:space="preserve"> </w:t>
      </w:r>
      <w:proofErr w:type="spellStart"/>
      <w:r w:rsidR="001C48D7" w:rsidRPr="00D41863">
        <w:rPr>
          <w:lang w:val="en-US"/>
        </w:rPr>
        <w:t>și</w:t>
      </w:r>
      <w:proofErr w:type="spellEnd"/>
      <w:r w:rsidR="001C48D7" w:rsidRPr="00D41863">
        <w:rPr>
          <w:lang w:val="en-US"/>
        </w:rPr>
        <w:t xml:space="preserve"> </w:t>
      </w:r>
      <w:proofErr w:type="spellStart"/>
      <w:r w:rsidR="001C48D7" w:rsidRPr="00D41863">
        <w:rPr>
          <w:lang w:val="en-US"/>
        </w:rPr>
        <w:t>Directiva</w:t>
      </w:r>
      <w:proofErr w:type="spellEnd"/>
      <w:r w:rsidR="001C48D7" w:rsidRPr="00D41863">
        <w:rPr>
          <w:lang w:val="en-US"/>
        </w:rPr>
        <w:t xml:space="preserve"> </w:t>
      </w:r>
      <w:proofErr w:type="spellStart"/>
      <w:r w:rsidR="001C48D7" w:rsidRPr="00D41863">
        <w:rPr>
          <w:lang w:val="en-US"/>
        </w:rPr>
        <w:t>privind</w:t>
      </w:r>
      <w:proofErr w:type="spellEnd"/>
      <w:r w:rsidR="001C48D7" w:rsidRPr="00D41863">
        <w:rPr>
          <w:lang w:val="en-US"/>
        </w:rPr>
        <w:t xml:space="preserve"> </w:t>
      </w:r>
      <w:proofErr w:type="spellStart"/>
      <w:r w:rsidR="001C48D7" w:rsidRPr="00D41863">
        <w:rPr>
          <w:lang w:val="en-US"/>
        </w:rPr>
        <w:t>clauzele</w:t>
      </w:r>
      <w:proofErr w:type="spellEnd"/>
      <w:r w:rsidR="001C48D7" w:rsidRPr="00D41863">
        <w:rPr>
          <w:lang w:val="en-US"/>
        </w:rPr>
        <w:t xml:space="preserve"> </w:t>
      </w:r>
      <w:proofErr w:type="spellStart"/>
      <w:r w:rsidR="001C48D7" w:rsidRPr="00D41863">
        <w:rPr>
          <w:lang w:val="en-US"/>
        </w:rPr>
        <w:t>abuzive</w:t>
      </w:r>
      <w:proofErr w:type="spellEnd"/>
      <w:r w:rsidR="001C48D7" w:rsidRPr="00D41863">
        <w:rPr>
          <w:lang w:val="en-US"/>
        </w:rPr>
        <w:t xml:space="preserve"> </w:t>
      </w:r>
      <w:proofErr w:type="spellStart"/>
      <w:r w:rsidR="001C48D7" w:rsidRPr="00D41863">
        <w:rPr>
          <w:lang w:val="en-US"/>
        </w:rPr>
        <w:t>în</w:t>
      </w:r>
      <w:proofErr w:type="spellEnd"/>
      <w:r w:rsidR="001C48D7" w:rsidRPr="00D41863">
        <w:rPr>
          <w:lang w:val="en-US"/>
        </w:rPr>
        <w:t xml:space="preserve"> </w:t>
      </w:r>
      <w:proofErr w:type="spellStart"/>
      <w:r w:rsidR="001C48D7" w:rsidRPr="00D41863">
        <w:rPr>
          <w:lang w:val="en-US"/>
        </w:rPr>
        <w:t>contractele</w:t>
      </w:r>
      <w:proofErr w:type="spellEnd"/>
      <w:r w:rsidR="001C48D7" w:rsidRPr="00D41863">
        <w:rPr>
          <w:lang w:val="en-US"/>
        </w:rPr>
        <w:t xml:space="preserve"> </w:t>
      </w:r>
      <w:proofErr w:type="spellStart"/>
      <w:r w:rsidR="001C48D7" w:rsidRPr="00D41863">
        <w:rPr>
          <w:lang w:val="en-US"/>
        </w:rPr>
        <w:t>încheiate</w:t>
      </w:r>
      <w:proofErr w:type="spellEnd"/>
      <w:r w:rsidR="001C48D7" w:rsidRPr="00D41863">
        <w:rPr>
          <w:lang w:val="en-US"/>
        </w:rPr>
        <w:t xml:space="preserve"> cu </w:t>
      </w:r>
      <w:proofErr w:type="spellStart"/>
      <w:r w:rsidR="001C48D7" w:rsidRPr="00D41863">
        <w:rPr>
          <w:lang w:val="en-US"/>
        </w:rPr>
        <w:t>consumatorii</w:t>
      </w:r>
      <w:proofErr w:type="spellEnd"/>
      <w:r w:rsidR="001C48D7" w:rsidRPr="00D41863">
        <w:rPr>
          <w:lang w:val="en-US"/>
        </w:rPr>
        <w:t xml:space="preserve">” (18 </w:t>
      </w:r>
      <w:proofErr w:type="spellStart"/>
      <w:r w:rsidR="001C48D7" w:rsidRPr="00D41863">
        <w:rPr>
          <w:lang w:val="en-US"/>
        </w:rPr>
        <w:t>iunie</w:t>
      </w:r>
      <w:proofErr w:type="spellEnd"/>
      <w:r w:rsidR="001C48D7" w:rsidRPr="00D41863">
        <w:rPr>
          <w:lang w:val="en-US"/>
        </w:rPr>
        <w:t xml:space="preserve"> 2019, </w:t>
      </w:r>
      <w:proofErr w:type="spellStart"/>
      <w:r w:rsidR="001C48D7" w:rsidRPr="00D41863">
        <w:rPr>
          <w:lang w:val="en-US"/>
        </w:rPr>
        <w:t>mun</w:t>
      </w:r>
      <w:proofErr w:type="spellEnd"/>
      <w:r w:rsidR="001C48D7" w:rsidRPr="00D41863">
        <w:rPr>
          <w:lang w:val="en-US"/>
        </w:rPr>
        <w:t xml:space="preserve">. </w:t>
      </w:r>
      <w:proofErr w:type="spellStart"/>
      <w:r>
        <w:t>Chişinău</w:t>
      </w:r>
      <w:proofErr w:type="spellEnd"/>
      <w:r>
        <w:t xml:space="preserve">), au </w:t>
      </w:r>
      <w:proofErr w:type="spellStart"/>
      <w:r w:rsidR="001C48D7" w:rsidRPr="00D41863">
        <w:t>participat</w:t>
      </w:r>
      <w:proofErr w:type="spellEnd"/>
      <w:r w:rsidR="001C48D7" w:rsidRPr="00D41863">
        <w:t xml:space="preserve"> 3 </w:t>
      </w:r>
      <w:proofErr w:type="spellStart"/>
      <w:r w:rsidR="001C48D7" w:rsidRPr="00D41863">
        <w:t>persoane</w:t>
      </w:r>
      <w:proofErr w:type="spellEnd"/>
      <w:r w:rsidR="001C48D7" w:rsidRPr="00D41863">
        <w:t>.</w:t>
      </w:r>
    </w:p>
    <w:p w:rsidR="001C48D7" w:rsidRPr="00D41863" w:rsidRDefault="00D41863" w:rsidP="00D41863">
      <w:pPr>
        <w:ind w:firstLine="720"/>
        <w:jc w:val="both"/>
      </w:pPr>
      <w:r>
        <w:rPr>
          <w:lang w:val="en-US"/>
        </w:rPr>
        <w:t>4) „</w:t>
      </w:r>
      <w:proofErr w:type="spellStart"/>
      <w:r w:rsidR="001C48D7" w:rsidRPr="00D41863">
        <w:rPr>
          <w:lang w:val="en-US"/>
        </w:rPr>
        <w:t>Obligațiile</w:t>
      </w:r>
      <w:proofErr w:type="spellEnd"/>
      <w:r w:rsidR="001C48D7" w:rsidRPr="00D41863">
        <w:rPr>
          <w:lang w:val="en-US"/>
        </w:rPr>
        <w:t xml:space="preserve"> </w:t>
      </w:r>
      <w:proofErr w:type="spellStart"/>
      <w:r w:rsidR="001C48D7" w:rsidRPr="00D41863">
        <w:rPr>
          <w:lang w:val="en-US"/>
        </w:rPr>
        <w:t>comercianților</w:t>
      </w:r>
      <w:proofErr w:type="spellEnd"/>
      <w:r w:rsidR="001C48D7" w:rsidRPr="00D41863">
        <w:rPr>
          <w:lang w:val="en-US"/>
        </w:rPr>
        <w:t xml:space="preserve"> </w:t>
      </w:r>
      <w:proofErr w:type="spellStart"/>
      <w:r w:rsidR="001C48D7" w:rsidRPr="00D41863">
        <w:rPr>
          <w:lang w:val="en-US"/>
        </w:rPr>
        <w:t>privind</w:t>
      </w:r>
      <w:proofErr w:type="spellEnd"/>
      <w:r w:rsidR="001C48D7" w:rsidRPr="00D41863">
        <w:rPr>
          <w:lang w:val="en-US"/>
        </w:rPr>
        <w:t xml:space="preserve"> </w:t>
      </w:r>
      <w:proofErr w:type="spellStart"/>
      <w:r w:rsidR="001C48D7" w:rsidRPr="00D41863">
        <w:rPr>
          <w:lang w:val="en-US"/>
        </w:rPr>
        <w:t>anumite</w:t>
      </w:r>
      <w:proofErr w:type="spellEnd"/>
      <w:r w:rsidR="001C48D7" w:rsidRPr="00D41863">
        <w:rPr>
          <w:lang w:val="en-US"/>
        </w:rPr>
        <w:t xml:space="preserve"> </w:t>
      </w:r>
      <w:proofErr w:type="spellStart"/>
      <w:r w:rsidR="001C48D7" w:rsidRPr="00D41863">
        <w:rPr>
          <w:lang w:val="en-US"/>
        </w:rPr>
        <w:t>aspecte</w:t>
      </w:r>
      <w:proofErr w:type="spellEnd"/>
      <w:r w:rsidR="001C48D7" w:rsidRPr="00D41863">
        <w:rPr>
          <w:lang w:val="en-US"/>
        </w:rPr>
        <w:t xml:space="preserve"> ale </w:t>
      </w:r>
      <w:proofErr w:type="spellStart"/>
      <w:r w:rsidR="001C48D7" w:rsidRPr="00D41863">
        <w:rPr>
          <w:lang w:val="en-US"/>
        </w:rPr>
        <w:t>vânzării</w:t>
      </w:r>
      <w:proofErr w:type="spellEnd"/>
      <w:r w:rsidR="001C48D7" w:rsidRPr="00D41863">
        <w:rPr>
          <w:lang w:val="en-US"/>
        </w:rPr>
        <w:t xml:space="preserve"> de </w:t>
      </w:r>
      <w:proofErr w:type="spellStart"/>
      <w:r w:rsidR="001C48D7" w:rsidRPr="00D41863">
        <w:rPr>
          <w:lang w:val="en-US"/>
        </w:rPr>
        <w:t>bunuri</w:t>
      </w:r>
      <w:proofErr w:type="spellEnd"/>
      <w:r w:rsidR="001C48D7" w:rsidRPr="00D41863">
        <w:rPr>
          <w:lang w:val="en-US"/>
        </w:rPr>
        <w:t xml:space="preserve"> de </w:t>
      </w:r>
      <w:proofErr w:type="spellStart"/>
      <w:r w:rsidR="001C48D7" w:rsidRPr="00D41863">
        <w:rPr>
          <w:lang w:val="en-US"/>
        </w:rPr>
        <w:t>consum</w:t>
      </w:r>
      <w:proofErr w:type="spellEnd"/>
      <w:r w:rsidR="001C48D7" w:rsidRPr="00D41863">
        <w:rPr>
          <w:lang w:val="en-US"/>
        </w:rPr>
        <w:t xml:space="preserve"> </w:t>
      </w:r>
      <w:proofErr w:type="spellStart"/>
      <w:r w:rsidR="001C48D7" w:rsidRPr="00D41863">
        <w:rPr>
          <w:lang w:val="en-US"/>
        </w:rPr>
        <w:t>și</w:t>
      </w:r>
      <w:proofErr w:type="spellEnd"/>
      <w:r w:rsidR="001C48D7" w:rsidRPr="00D41863">
        <w:rPr>
          <w:lang w:val="en-US"/>
        </w:rPr>
        <w:t xml:space="preserve"> </w:t>
      </w:r>
      <w:proofErr w:type="spellStart"/>
      <w:r w:rsidR="001C48D7" w:rsidRPr="00D41863">
        <w:rPr>
          <w:lang w:val="en-US"/>
        </w:rPr>
        <w:t>garanții</w:t>
      </w:r>
      <w:proofErr w:type="spellEnd"/>
      <w:r w:rsidR="001C48D7" w:rsidRPr="00D41863">
        <w:rPr>
          <w:lang w:val="en-US"/>
        </w:rPr>
        <w:t xml:space="preserve"> </w:t>
      </w:r>
      <w:proofErr w:type="spellStart"/>
      <w:r w:rsidR="001C48D7" w:rsidRPr="00D41863">
        <w:rPr>
          <w:lang w:val="en-US"/>
        </w:rPr>
        <w:t>conexe</w:t>
      </w:r>
      <w:proofErr w:type="spellEnd"/>
      <w:r w:rsidR="001C48D7" w:rsidRPr="00D41863">
        <w:rPr>
          <w:lang w:val="en-US"/>
        </w:rPr>
        <w:t xml:space="preserve">” (20 </w:t>
      </w:r>
      <w:proofErr w:type="spellStart"/>
      <w:r w:rsidR="001C48D7" w:rsidRPr="00D41863">
        <w:rPr>
          <w:lang w:val="en-US"/>
        </w:rPr>
        <w:t>iunie</w:t>
      </w:r>
      <w:proofErr w:type="spellEnd"/>
      <w:r w:rsidR="001C48D7" w:rsidRPr="00D41863">
        <w:rPr>
          <w:lang w:val="en-US"/>
        </w:rPr>
        <w:t xml:space="preserve"> 2019, </w:t>
      </w:r>
      <w:proofErr w:type="spellStart"/>
      <w:r w:rsidR="001C48D7" w:rsidRPr="00D41863">
        <w:rPr>
          <w:lang w:val="en-US"/>
        </w:rPr>
        <w:t>mun</w:t>
      </w:r>
      <w:proofErr w:type="spellEnd"/>
      <w:r w:rsidR="001C48D7" w:rsidRPr="00D41863">
        <w:rPr>
          <w:lang w:val="en-US"/>
        </w:rPr>
        <w:t xml:space="preserve">. </w:t>
      </w:r>
      <w:proofErr w:type="spellStart"/>
      <w:r>
        <w:t>Chişinău</w:t>
      </w:r>
      <w:proofErr w:type="spellEnd"/>
      <w:r>
        <w:t xml:space="preserve">), au </w:t>
      </w:r>
      <w:proofErr w:type="spellStart"/>
      <w:r>
        <w:t>participat</w:t>
      </w:r>
      <w:proofErr w:type="spellEnd"/>
      <w:r>
        <w:t xml:space="preserve"> 3 </w:t>
      </w:r>
      <w:proofErr w:type="spellStart"/>
      <w:r>
        <w:t>persoane</w:t>
      </w:r>
      <w:proofErr w:type="spellEnd"/>
      <w:r>
        <w:t>.</w:t>
      </w:r>
    </w:p>
    <w:p w:rsidR="001C48D7" w:rsidRPr="00D41863" w:rsidRDefault="001C48D7" w:rsidP="00D41863">
      <w:pPr>
        <w:ind w:firstLine="720"/>
        <w:jc w:val="both"/>
        <w:rPr>
          <w:lang w:val="ro-MD"/>
        </w:rPr>
      </w:pPr>
      <w:r w:rsidRPr="00D41863">
        <w:rPr>
          <w:lang w:val="en-US"/>
        </w:rPr>
        <w:t xml:space="preserve">5) </w:t>
      </w:r>
      <w:r w:rsidR="004338BD">
        <w:rPr>
          <w:lang w:val="en-US"/>
        </w:rPr>
        <w:t>„</w:t>
      </w:r>
      <w:proofErr w:type="spellStart"/>
      <w:r w:rsidR="004338BD">
        <w:rPr>
          <w:lang w:val="en-US"/>
        </w:rPr>
        <w:t>P</w:t>
      </w:r>
      <w:bookmarkStart w:id="0" w:name="_GoBack"/>
      <w:bookmarkEnd w:id="0"/>
      <w:r w:rsidRPr="00D41863">
        <w:rPr>
          <w:lang w:val="en-US"/>
        </w:rPr>
        <w:t>rivind</w:t>
      </w:r>
      <w:proofErr w:type="spellEnd"/>
      <w:r w:rsidRPr="00D41863">
        <w:rPr>
          <w:lang w:val="en-US"/>
        </w:rPr>
        <w:t xml:space="preserve"> </w:t>
      </w:r>
      <w:proofErr w:type="spellStart"/>
      <w:r w:rsidRPr="00D41863">
        <w:rPr>
          <w:lang w:val="en-US"/>
        </w:rPr>
        <w:t>echipamentele</w:t>
      </w:r>
      <w:proofErr w:type="spellEnd"/>
      <w:r w:rsidRPr="00D41863">
        <w:rPr>
          <w:lang w:val="en-US"/>
        </w:rPr>
        <w:t xml:space="preserve"> sub </w:t>
      </w:r>
      <w:proofErr w:type="spellStart"/>
      <w:r w:rsidRPr="00D41863">
        <w:rPr>
          <w:lang w:val="en-US"/>
        </w:rPr>
        <w:t>presiune</w:t>
      </w:r>
      <w:proofErr w:type="spellEnd"/>
      <w:r w:rsidRPr="00D41863">
        <w:rPr>
          <w:lang w:val="en-US"/>
        </w:rPr>
        <w:t xml:space="preserve"> </w:t>
      </w:r>
      <w:proofErr w:type="spellStart"/>
      <w:r w:rsidRPr="00D41863">
        <w:rPr>
          <w:lang w:val="en-US"/>
        </w:rPr>
        <w:t>și</w:t>
      </w:r>
      <w:proofErr w:type="spellEnd"/>
      <w:r w:rsidRPr="00D41863">
        <w:rPr>
          <w:lang w:val="en-US"/>
        </w:rPr>
        <w:t xml:space="preserve"> </w:t>
      </w:r>
      <w:proofErr w:type="spellStart"/>
      <w:r w:rsidRPr="00D41863">
        <w:rPr>
          <w:lang w:val="en-US"/>
        </w:rPr>
        <w:t>echipamentele</w:t>
      </w:r>
      <w:proofErr w:type="spellEnd"/>
      <w:r w:rsidRPr="00D41863">
        <w:rPr>
          <w:lang w:val="en-US"/>
        </w:rPr>
        <w:t xml:space="preserve"> sub </w:t>
      </w:r>
      <w:proofErr w:type="spellStart"/>
      <w:r w:rsidRPr="00D41863">
        <w:rPr>
          <w:lang w:val="en-US"/>
        </w:rPr>
        <w:t>presiune</w:t>
      </w:r>
      <w:proofErr w:type="spellEnd"/>
      <w:r w:rsidRPr="00D41863">
        <w:rPr>
          <w:lang w:val="en-US"/>
        </w:rPr>
        <w:t xml:space="preserve"> </w:t>
      </w:r>
      <w:proofErr w:type="spellStart"/>
      <w:r w:rsidRPr="00D41863">
        <w:rPr>
          <w:lang w:val="en-US"/>
        </w:rPr>
        <w:t>transportabile</w:t>
      </w:r>
      <w:proofErr w:type="spellEnd"/>
      <w:r w:rsidR="00294A9D">
        <w:rPr>
          <w:lang w:val="en-US"/>
        </w:rPr>
        <w:t xml:space="preserve"> </w:t>
      </w:r>
      <w:r w:rsidRPr="00D41863">
        <w:rPr>
          <w:lang w:val="en-US"/>
        </w:rPr>
        <w:t xml:space="preserve">- (25-26 </w:t>
      </w:r>
      <w:proofErr w:type="spellStart"/>
      <w:r w:rsidRPr="00D41863">
        <w:rPr>
          <w:lang w:val="en-US"/>
        </w:rPr>
        <w:t>septembrie</w:t>
      </w:r>
      <w:proofErr w:type="spellEnd"/>
      <w:r w:rsidRPr="00D41863">
        <w:rPr>
          <w:lang w:val="en-US"/>
        </w:rPr>
        <w:t xml:space="preserve"> 2019, </w:t>
      </w:r>
      <w:proofErr w:type="spellStart"/>
      <w:r w:rsidRPr="00D41863">
        <w:rPr>
          <w:lang w:val="en-US"/>
        </w:rPr>
        <w:t>mun</w:t>
      </w:r>
      <w:proofErr w:type="spellEnd"/>
      <w:r w:rsidRPr="00D41863">
        <w:rPr>
          <w:lang w:val="en-US"/>
        </w:rPr>
        <w:t xml:space="preserve">. </w:t>
      </w:r>
      <w:proofErr w:type="spellStart"/>
      <w:r w:rsidR="00D41863">
        <w:t>Chişinău</w:t>
      </w:r>
      <w:proofErr w:type="spellEnd"/>
      <w:r w:rsidR="00D41863">
        <w:t>)</w:t>
      </w:r>
      <w:r w:rsidRPr="00D41863">
        <w:t xml:space="preserve">, au </w:t>
      </w:r>
      <w:proofErr w:type="spellStart"/>
      <w:r w:rsidRPr="00D41863">
        <w:t>participat</w:t>
      </w:r>
      <w:proofErr w:type="spellEnd"/>
      <w:r w:rsidRPr="00D41863">
        <w:t xml:space="preserve"> 12 </w:t>
      </w:r>
      <w:proofErr w:type="spellStart"/>
      <w:r w:rsidRPr="00D41863">
        <w:t>persoane</w:t>
      </w:r>
      <w:proofErr w:type="spellEnd"/>
      <w:r w:rsidRPr="00D41863">
        <w:t xml:space="preserve">.     </w:t>
      </w:r>
    </w:p>
    <w:p w:rsidR="001C48D7" w:rsidRPr="00D41863" w:rsidRDefault="001C48D7" w:rsidP="00D41863">
      <w:pPr>
        <w:ind w:firstLine="720"/>
        <w:jc w:val="both"/>
        <w:rPr>
          <w:lang w:val="ro-RO"/>
        </w:rPr>
      </w:pPr>
    </w:p>
    <w:p w:rsidR="005212E4" w:rsidRPr="00866277" w:rsidRDefault="005212E4" w:rsidP="00D404F9">
      <w:pPr>
        <w:ind w:firstLine="720"/>
        <w:jc w:val="both"/>
        <w:rPr>
          <w:lang w:val="ro-RO"/>
        </w:rPr>
      </w:pPr>
      <w:r w:rsidRPr="00866277">
        <w:rPr>
          <w:rFonts w:eastAsia="Calibri"/>
          <w:lang w:val="ro-RO" w:eastAsia="en-US"/>
        </w:rPr>
        <w:t>Cu referire la d</w:t>
      </w:r>
      <w:r w:rsidRPr="00866277">
        <w:rPr>
          <w:lang w:val="ro-RO"/>
        </w:rPr>
        <w:t xml:space="preserve">eterminarea numărului anual al cazurilor de prejudiciu vieții </w:t>
      </w:r>
      <w:proofErr w:type="spellStart"/>
      <w:r w:rsidRPr="00866277">
        <w:rPr>
          <w:lang w:val="ro-RO"/>
        </w:rPr>
        <w:t>şi</w:t>
      </w:r>
      <w:proofErr w:type="spellEnd"/>
      <w:r w:rsidRPr="00866277">
        <w:rPr>
          <w:lang w:val="ro-RO"/>
        </w:rPr>
        <w:t xml:space="preserve"> sănătății provocate de produsele nealimentare defectuoase sau de produsele alimentare </w:t>
      </w:r>
      <w:r w:rsidRPr="00866277">
        <w:rPr>
          <w:lang w:val="ro-RO" w:eastAsia="ru-RU"/>
        </w:rPr>
        <w:t>ofensive/neconforme</w:t>
      </w:r>
      <w:r w:rsidRPr="00866277">
        <w:rPr>
          <w:rFonts w:eastAsia="Calibri"/>
          <w:lang w:val="ro-RO" w:eastAsia="en-US"/>
        </w:rPr>
        <w:t xml:space="preserve"> (</w:t>
      </w:r>
      <w:r w:rsidRPr="00866277">
        <w:rPr>
          <w:rFonts w:eastAsia="Calibri"/>
          <w:b/>
          <w:lang w:val="ro-RO" w:eastAsia="en-US"/>
        </w:rPr>
        <w:t>pct.1.6.1</w:t>
      </w:r>
      <w:r w:rsidRPr="00866277">
        <w:rPr>
          <w:rFonts w:eastAsia="Calibri"/>
          <w:lang w:val="ro-RO" w:eastAsia="en-US"/>
        </w:rPr>
        <w:t>) în anul 201</w:t>
      </w:r>
      <w:r w:rsidR="00584438" w:rsidRPr="00866277">
        <w:rPr>
          <w:rFonts w:eastAsia="Calibri"/>
          <w:lang w:val="ro-RO" w:eastAsia="en-US"/>
        </w:rPr>
        <w:t>9</w:t>
      </w:r>
      <w:r w:rsidR="00584438" w:rsidRPr="00866277">
        <w:rPr>
          <w:rFonts w:eastAsia="Calibri"/>
          <w:lang w:val="ro-RO"/>
        </w:rPr>
        <w:t>, de către APCSP c</w:t>
      </w:r>
      <w:r w:rsidR="00584438" w:rsidRPr="00866277">
        <w:rPr>
          <w:lang w:val="ro-RO"/>
        </w:rPr>
        <w:t>azuri de prejudicii aduse vieții și sănătății provocate de produsele defectuoase nu au fost constatate sau reclamate.</w:t>
      </w:r>
    </w:p>
    <w:p w:rsidR="008A66AD" w:rsidRPr="00866277" w:rsidRDefault="00873C3A" w:rsidP="00D404F9">
      <w:pPr>
        <w:ind w:firstLine="720"/>
        <w:jc w:val="both"/>
        <w:rPr>
          <w:lang w:val="ro-RO"/>
        </w:rPr>
      </w:pPr>
      <w:r w:rsidRPr="00866277">
        <w:rPr>
          <w:lang w:val="ro-RO"/>
        </w:rPr>
        <w:t>Ministerul Sănătății, Muncii și Protecției Sociale</w:t>
      </w:r>
      <w:r w:rsidR="009C3810" w:rsidRPr="00866277">
        <w:rPr>
          <w:lang w:val="ro-RO"/>
        </w:rPr>
        <w:t xml:space="preserve"> (MSMPS)</w:t>
      </w:r>
      <w:r w:rsidRPr="00866277">
        <w:rPr>
          <w:lang w:val="ro-RO"/>
        </w:rPr>
        <w:t xml:space="preserve"> comunică că</w:t>
      </w:r>
      <w:r w:rsidR="009C3810" w:rsidRPr="00866277">
        <w:rPr>
          <w:lang w:val="ro-RO"/>
        </w:rPr>
        <w:t>,</w:t>
      </w:r>
      <w:r w:rsidRPr="00866277">
        <w:rPr>
          <w:lang w:val="ro-RO"/>
        </w:rPr>
        <w:t xml:space="preserve"> </w:t>
      </w:r>
      <w:r w:rsidR="00D404F9" w:rsidRPr="00866277">
        <w:rPr>
          <w:lang w:val="ro-RO"/>
        </w:rPr>
        <w:t>p</w:t>
      </w:r>
      <w:r w:rsidR="008A66AD" w:rsidRPr="00866277">
        <w:rPr>
          <w:lang w:val="ro-RO"/>
        </w:rPr>
        <w:t>e parcursul anului 2019 au fost înregistrate 733 de cazuri de intoxicație cu m</w:t>
      </w:r>
      <w:r w:rsidR="00014AC2">
        <w:rPr>
          <w:lang w:val="ro-RO"/>
        </w:rPr>
        <w:t>edicamente dintre care 5 decese;</w:t>
      </w:r>
      <w:r w:rsidR="008A66AD" w:rsidRPr="00866277">
        <w:rPr>
          <w:lang w:val="ro-RO"/>
        </w:rPr>
        <w:t xml:space="preserve"> 534 de cazuri intoxicații acute </w:t>
      </w:r>
      <w:r w:rsidR="00014AC2">
        <w:rPr>
          <w:lang w:val="ro-RO"/>
        </w:rPr>
        <w:t xml:space="preserve">cu alcool dintre care 8 decese; </w:t>
      </w:r>
      <w:r w:rsidR="008A66AD" w:rsidRPr="00866277">
        <w:rPr>
          <w:lang w:val="ro-RO"/>
        </w:rPr>
        <w:t>150 de cazuri intoxicații cu pesticide dintre care 5 decese. De asemenea, au fost notificate 11 cazuri de intoxicații cu nitrați dintre care 1 deces.</w:t>
      </w:r>
    </w:p>
    <w:p w:rsidR="004A6344" w:rsidRPr="00866277" w:rsidRDefault="00D404F9" w:rsidP="00D404F9">
      <w:pPr>
        <w:ind w:firstLine="720"/>
        <w:jc w:val="both"/>
        <w:rPr>
          <w:lang w:val="ro-RO"/>
        </w:rPr>
      </w:pPr>
      <w:r w:rsidRPr="00866277">
        <w:rPr>
          <w:lang w:val="ro-RO"/>
        </w:rPr>
        <w:t>În domeniul alimentar</w:t>
      </w:r>
      <w:r w:rsidR="00014AC2">
        <w:rPr>
          <w:lang w:val="ro-RO"/>
        </w:rPr>
        <w:t>,</w:t>
      </w:r>
      <w:r w:rsidRPr="00866277">
        <w:rPr>
          <w:lang w:val="ro-RO"/>
        </w:rPr>
        <w:t xml:space="preserve"> p</w:t>
      </w:r>
      <w:r w:rsidR="004A6344" w:rsidRPr="00866277">
        <w:rPr>
          <w:lang w:val="ro-RO"/>
        </w:rPr>
        <w:t>e parcursul anu</w:t>
      </w:r>
      <w:r w:rsidRPr="00866277">
        <w:rPr>
          <w:lang w:val="ro-RO"/>
        </w:rPr>
        <w:t xml:space="preserve">lui 2019 au fost </w:t>
      </w:r>
      <w:proofErr w:type="spellStart"/>
      <w:r w:rsidRPr="00866277">
        <w:rPr>
          <w:lang w:val="ro-RO"/>
        </w:rPr>
        <w:t>înreistrate</w:t>
      </w:r>
      <w:proofErr w:type="spellEnd"/>
      <w:r w:rsidRPr="00866277">
        <w:rPr>
          <w:lang w:val="ro-RO"/>
        </w:rPr>
        <w:t xml:space="preserve"> 25 cazuri </w:t>
      </w:r>
      <w:r w:rsidR="004A6344" w:rsidRPr="00866277">
        <w:rPr>
          <w:lang w:val="ro-RO"/>
        </w:rPr>
        <w:t xml:space="preserve">de </w:t>
      </w:r>
      <w:proofErr w:type="spellStart"/>
      <w:r w:rsidR="004A6344" w:rsidRPr="00866277">
        <w:rPr>
          <w:lang w:val="ro-RO"/>
        </w:rPr>
        <w:t>to</w:t>
      </w:r>
      <w:r w:rsidR="00014AC2">
        <w:rPr>
          <w:lang w:val="ro-RO"/>
        </w:rPr>
        <w:t>x</w:t>
      </w:r>
      <w:r w:rsidR="004A6344" w:rsidRPr="00866277">
        <w:rPr>
          <w:lang w:val="ro-RO"/>
        </w:rPr>
        <w:t>infecți</w:t>
      </w:r>
      <w:proofErr w:type="spellEnd"/>
      <w:r w:rsidR="004A6344" w:rsidRPr="00866277">
        <w:rPr>
          <w:lang w:val="ro-RO"/>
        </w:rPr>
        <w:t xml:space="preserve"> alimentare cu afectarea a 362 de persoane dintre care: 221 maturi </w:t>
      </w:r>
      <w:proofErr w:type="spellStart"/>
      <w:r w:rsidR="004A6344" w:rsidRPr="00866277">
        <w:rPr>
          <w:lang w:val="ro-RO"/>
        </w:rPr>
        <w:t>şi</w:t>
      </w:r>
      <w:proofErr w:type="spellEnd"/>
      <w:r w:rsidR="004A6344" w:rsidRPr="00866277">
        <w:rPr>
          <w:lang w:val="ro-RO"/>
        </w:rPr>
        <w:t xml:space="preserve"> 141 copii. Din numărul cazurilor înregistrate – 13 au fost confirmate cu </w:t>
      </w:r>
      <w:proofErr w:type="spellStart"/>
      <w:r w:rsidR="004A6344" w:rsidRPr="00866277">
        <w:rPr>
          <w:lang w:val="ro-RO"/>
        </w:rPr>
        <w:t>toxinfecție</w:t>
      </w:r>
      <w:proofErr w:type="spellEnd"/>
      <w:r w:rsidR="004A6344" w:rsidRPr="00866277">
        <w:rPr>
          <w:lang w:val="ro-RO"/>
        </w:rPr>
        <w:t xml:space="preserve"> alimentară.</w:t>
      </w:r>
    </w:p>
    <w:p w:rsidR="004A6344" w:rsidRPr="00866277" w:rsidRDefault="004A6344" w:rsidP="00D404F9">
      <w:pPr>
        <w:ind w:firstLine="720"/>
        <w:jc w:val="both"/>
        <w:rPr>
          <w:lang w:val="ro-RO"/>
        </w:rPr>
      </w:pPr>
      <w:r w:rsidRPr="00866277">
        <w:rPr>
          <w:lang w:val="ro-RO"/>
        </w:rPr>
        <w:t>În timpul efectuării anchetei epidemiologice au fost prelev</w:t>
      </w:r>
      <w:r w:rsidR="00014AC2">
        <w:rPr>
          <w:lang w:val="ro-RO"/>
        </w:rPr>
        <w:t>ate 292 probe de produse alimen</w:t>
      </w:r>
      <w:r w:rsidRPr="00866277">
        <w:rPr>
          <w:lang w:val="ro-RO"/>
        </w:rPr>
        <w:t xml:space="preserve">tare și apă, lavaje de sanitație, în rezultatul rapoartelor de încercări — 32 probe au fost stabilite ca neconforme. Urmare a constatărilor, au fost întocmite procese-verbale de control cu prescrierea neconformităților </w:t>
      </w:r>
      <w:proofErr w:type="spellStart"/>
      <w:r w:rsidRPr="00866277">
        <w:rPr>
          <w:lang w:val="ro-RO"/>
        </w:rPr>
        <w:t>şi</w:t>
      </w:r>
      <w:proofErr w:type="spellEnd"/>
      <w:r w:rsidRPr="00866277">
        <w:rPr>
          <w:lang w:val="ro-RO"/>
        </w:rPr>
        <w:t xml:space="preserve"> termenelor de r</w:t>
      </w:r>
      <w:r w:rsidR="00014AC2">
        <w:rPr>
          <w:lang w:val="ro-RO"/>
        </w:rPr>
        <w:t>emediere ale acestora. Unităților</w:t>
      </w:r>
      <w:r w:rsidRPr="00866277">
        <w:rPr>
          <w:lang w:val="ro-RO"/>
        </w:rPr>
        <w:t xml:space="preserve"> în cadrul cărora au fost înregistrate și confirmate cazuri de toxiinfecție alimentară </w:t>
      </w:r>
      <w:r w:rsidR="00014AC2">
        <w:rPr>
          <w:lang w:val="ro-RO"/>
        </w:rPr>
        <w:t>le-</w:t>
      </w:r>
      <w:r w:rsidRPr="00866277">
        <w:rPr>
          <w:lang w:val="ro-RO"/>
        </w:rPr>
        <w:t xml:space="preserve">a fost sistată activitatea pe durata desfășurării anchetei sau </w:t>
      </w:r>
      <w:proofErr w:type="spellStart"/>
      <w:r w:rsidRPr="00866277">
        <w:rPr>
          <w:lang w:val="ro-RO"/>
        </w:rPr>
        <w:t>pînă</w:t>
      </w:r>
      <w:proofErr w:type="spellEnd"/>
      <w:r w:rsidRPr="00866277">
        <w:rPr>
          <w:lang w:val="ro-RO"/>
        </w:rPr>
        <w:t xml:space="preserve"> la</w:t>
      </w:r>
      <w:r w:rsidR="00D404F9" w:rsidRPr="00866277">
        <w:rPr>
          <w:lang w:val="ro-RO"/>
        </w:rPr>
        <w:t xml:space="preserve"> </w:t>
      </w:r>
      <w:r w:rsidRPr="00866277">
        <w:rPr>
          <w:lang w:val="ro-RO"/>
        </w:rPr>
        <w:t>înlăturarea neconformităților.</w:t>
      </w:r>
    </w:p>
    <w:p w:rsidR="004A6344" w:rsidRPr="00866277" w:rsidRDefault="004A6344" w:rsidP="00A62FA7">
      <w:pPr>
        <w:ind w:firstLine="720"/>
        <w:jc w:val="both"/>
        <w:rPr>
          <w:lang w:val="ro-RO"/>
        </w:rPr>
      </w:pPr>
    </w:p>
    <w:p w:rsidR="00E55701" w:rsidRPr="00866277" w:rsidRDefault="00A153EF" w:rsidP="00A62FA7">
      <w:pPr>
        <w:ind w:right="36" w:firstLine="720"/>
        <w:jc w:val="both"/>
        <w:rPr>
          <w:lang w:val="ro-RO"/>
        </w:rPr>
      </w:pPr>
      <w:r w:rsidRPr="00866277">
        <w:rPr>
          <w:rFonts w:eastAsia="Calibri"/>
          <w:lang w:val="ro-RO" w:eastAsia="en-US"/>
        </w:rPr>
        <w:t xml:space="preserve">Cu referire la </w:t>
      </w:r>
      <w:r w:rsidR="008B36F0" w:rsidRPr="00866277">
        <w:rPr>
          <w:lang w:val="ro-RO"/>
        </w:rPr>
        <w:t>î</w:t>
      </w:r>
      <w:r w:rsidR="00EF66D7" w:rsidRPr="00866277">
        <w:rPr>
          <w:lang w:val="ro-RO"/>
        </w:rPr>
        <w:t>nregistrarea anuală a numărului de notificări între autoritățile de supraveghere a pieței</w:t>
      </w:r>
      <w:r w:rsidR="00EF66D7" w:rsidRPr="00866277">
        <w:rPr>
          <w:rFonts w:eastAsia="Calibri"/>
          <w:lang w:val="ro-RO" w:eastAsia="en-US"/>
        </w:rPr>
        <w:t xml:space="preserve"> </w:t>
      </w:r>
      <w:r w:rsidRPr="00866277">
        <w:rPr>
          <w:rFonts w:eastAsia="Calibri"/>
          <w:lang w:val="ro-RO" w:eastAsia="en-US"/>
        </w:rPr>
        <w:t>(</w:t>
      </w:r>
      <w:r w:rsidRPr="00866277">
        <w:rPr>
          <w:rFonts w:eastAsia="Calibri"/>
          <w:b/>
          <w:lang w:val="ro-RO" w:eastAsia="en-US"/>
        </w:rPr>
        <w:t>pct.1.6.</w:t>
      </w:r>
      <w:r w:rsidR="00EF66D7" w:rsidRPr="00866277">
        <w:rPr>
          <w:rFonts w:eastAsia="Calibri"/>
          <w:b/>
          <w:lang w:val="ro-RO" w:eastAsia="en-US"/>
        </w:rPr>
        <w:t>2</w:t>
      </w:r>
      <w:r w:rsidRPr="00866277">
        <w:rPr>
          <w:rFonts w:eastAsia="Calibri"/>
          <w:lang w:val="ro-RO" w:eastAsia="en-US"/>
        </w:rPr>
        <w:t>) în anul 201</w:t>
      </w:r>
      <w:r w:rsidR="00E55701" w:rsidRPr="00866277">
        <w:rPr>
          <w:rFonts w:eastAsia="Calibri"/>
          <w:lang w:val="ro-RO" w:eastAsia="en-US"/>
        </w:rPr>
        <w:t xml:space="preserve">9 </w:t>
      </w:r>
      <w:r w:rsidR="00E55701" w:rsidRPr="00866277">
        <w:rPr>
          <w:lang w:val="ro-RO"/>
        </w:rPr>
        <w:t>notificări nu au parvenit.</w:t>
      </w:r>
    </w:p>
    <w:p w:rsidR="00E55701" w:rsidRPr="00866277" w:rsidRDefault="00E55701" w:rsidP="00A62FA7">
      <w:pPr>
        <w:ind w:right="36" w:firstLine="720"/>
        <w:jc w:val="both"/>
        <w:rPr>
          <w:lang w:val="ro-RO"/>
        </w:rPr>
      </w:pPr>
      <w:r w:rsidRPr="00866277">
        <w:rPr>
          <w:lang w:val="ro-RO"/>
        </w:rPr>
        <w:lastRenderedPageBreak/>
        <w:t>A parvenit o informație, de la un importator din România, despre 2 produse chimice periculoase. Informația importatorului, cu privire la lansarea campaniei proprii de retragere de pe piața RM, în cazul existenței acestora, este</w:t>
      </w:r>
      <w:r w:rsidR="00014AC2">
        <w:rPr>
          <w:lang w:val="ro-RO"/>
        </w:rPr>
        <w:t xml:space="preserve"> plasată pe pagina web a APCSP</w:t>
      </w:r>
      <w:r w:rsidRPr="00866277">
        <w:rPr>
          <w:lang w:val="ro-RO"/>
        </w:rPr>
        <w:t>.</w:t>
      </w:r>
    </w:p>
    <w:p w:rsidR="00E55701" w:rsidRPr="00866277" w:rsidRDefault="00E55701" w:rsidP="00A62FA7">
      <w:pPr>
        <w:ind w:right="36" w:firstLine="720"/>
        <w:jc w:val="both"/>
        <w:rPr>
          <w:lang w:val="ro-RO"/>
        </w:rPr>
      </w:pPr>
      <w:r w:rsidRPr="00866277">
        <w:rPr>
          <w:lang w:val="ro-RO"/>
        </w:rPr>
        <w:t xml:space="preserve">Totodată, consumatorii sunt informați cu privire la un potențial risc în privința acestor produse, modul de identificare și returnare, cât si o serie de recomandări pentru produsele, care se află deja în utilizare. </w:t>
      </w:r>
    </w:p>
    <w:p w:rsidR="00E55701" w:rsidRPr="00866277" w:rsidRDefault="00E55701" w:rsidP="00873C3A">
      <w:pPr>
        <w:ind w:right="36" w:firstLine="720"/>
        <w:jc w:val="both"/>
        <w:rPr>
          <w:rFonts w:eastAsia="Calibri"/>
          <w:lang w:val="ro-RO" w:eastAsia="en-US"/>
        </w:rPr>
      </w:pPr>
    </w:p>
    <w:p w:rsidR="0065583F" w:rsidRPr="00866277" w:rsidRDefault="0065583F" w:rsidP="00D21B0A">
      <w:pPr>
        <w:ind w:firstLine="720"/>
        <w:jc w:val="both"/>
        <w:rPr>
          <w:rFonts w:ascii="Arial Narrow" w:eastAsia="Times New Roman" w:hAnsi="Arial Narrow"/>
          <w:bCs/>
          <w:i/>
          <w:lang w:val="ro-RO"/>
        </w:rPr>
      </w:pPr>
    </w:p>
    <w:p w:rsidR="003A50AD" w:rsidRPr="00866277" w:rsidRDefault="003A50AD">
      <w:pPr>
        <w:spacing w:after="160" w:line="259" w:lineRule="auto"/>
        <w:rPr>
          <w:rFonts w:eastAsia="Times New Roman"/>
          <w:b/>
          <w:bCs/>
          <w:lang w:val="ro-RO"/>
        </w:rPr>
      </w:pPr>
      <w:r w:rsidRPr="00866277">
        <w:rPr>
          <w:rFonts w:eastAsia="Times New Roman"/>
          <w:b/>
          <w:bCs/>
          <w:lang w:val="ro-RO"/>
        </w:rPr>
        <w:br w:type="page"/>
      </w:r>
    </w:p>
    <w:p w:rsidR="0065583F" w:rsidRPr="00866277" w:rsidRDefault="0065583F" w:rsidP="00D21B0A">
      <w:pPr>
        <w:jc w:val="center"/>
        <w:rPr>
          <w:lang w:val="ro-RO"/>
        </w:rPr>
      </w:pPr>
      <w:r w:rsidRPr="00866277">
        <w:rPr>
          <w:rFonts w:eastAsia="Times New Roman"/>
          <w:b/>
          <w:bCs/>
          <w:lang w:val="ro-RO"/>
        </w:rPr>
        <w:lastRenderedPageBreak/>
        <w:t>II. SCĂDEREA NIVELULUI TRANZACŢIILOR PREJUDICIABILE PENTRU CONSUMATORI</w:t>
      </w:r>
    </w:p>
    <w:p w:rsidR="0065583F" w:rsidRPr="00866277" w:rsidRDefault="0065583F" w:rsidP="00D21B0A">
      <w:pPr>
        <w:ind w:firstLine="720"/>
        <w:rPr>
          <w:i/>
          <w:u w:val="single"/>
          <w:lang w:val="ro-RO"/>
        </w:rPr>
      </w:pPr>
    </w:p>
    <w:p w:rsidR="0065583F" w:rsidRPr="00866277" w:rsidRDefault="0065583F" w:rsidP="00750F5A">
      <w:pPr>
        <w:ind w:firstLine="720"/>
        <w:jc w:val="both"/>
        <w:rPr>
          <w:rFonts w:eastAsia="Times New Roman"/>
          <w:b/>
          <w:bCs/>
          <w:lang w:val="ro-RO"/>
        </w:rPr>
      </w:pPr>
      <w:r w:rsidRPr="00866277">
        <w:rPr>
          <w:rFonts w:eastAsia="Times New Roman"/>
          <w:b/>
          <w:bCs/>
          <w:lang w:val="ro-RO"/>
        </w:rPr>
        <w:t xml:space="preserve">2.2. Promovarea, controlul </w:t>
      </w:r>
      <w:proofErr w:type="spellStart"/>
      <w:r w:rsidRPr="00866277">
        <w:rPr>
          <w:rFonts w:eastAsia="Times New Roman"/>
          <w:b/>
          <w:bCs/>
          <w:lang w:val="ro-RO"/>
        </w:rPr>
        <w:t>şi</w:t>
      </w:r>
      <w:proofErr w:type="spellEnd"/>
      <w:r w:rsidRPr="00866277">
        <w:rPr>
          <w:rFonts w:eastAsia="Times New Roman"/>
          <w:b/>
          <w:bCs/>
          <w:lang w:val="ro-RO"/>
        </w:rPr>
        <w:t xml:space="preserve"> supravegherea respectării </w:t>
      </w:r>
      <w:r w:rsidR="001E2020" w:rsidRPr="00866277">
        <w:rPr>
          <w:rFonts w:eastAsia="Times New Roman"/>
          <w:b/>
          <w:bCs/>
          <w:lang w:val="ro-RO"/>
        </w:rPr>
        <w:t>legislației</w:t>
      </w:r>
      <w:r w:rsidRPr="00866277">
        <w:rPr>
          <w:rFonts w:eastAsia="Times New Roman"/>
          <w:b/>
          <w:bCs/>
          <w:lang w:val="ro-RO"/>
        </w:rPr>
        <w:t xml:space="preserve"> precontractuale, contractuale </w:t>
      </w:r>
      <w:proofErr w:type="spellStart"/>
      <w:r w:rsidRPr="00866277">
        <w:rPr>
          <w:rFonts w:eastAsia="Times New Roman"/>
          <w:b/>
          <w:bCs/>
          <w:lang w:val="ro-RO"/>
        </w:rPr>
        <w:t>şi</w:t>
      </w:r>
      <w:proofErr w:type="spellEnd"/>
      <w:r w:rsidRPr="00866277">
        <w:rPr>
          <w:rFonts w:eastAsia="Times New Roman"/>
          <w:b/>
          <w:bCs/>
          <w:lang w:val="ro-RO"/>
        </w:rPr>
        <w:t xml:space="preserve"> </w:t>
      </w:r>
      <w:proofErr w:type="spellStart"/>
      <w:r w:rsidRPr="00866277">
        <w:rPr>
          <w:rFonts w:eastAsia="Times New Roman"/>
          <w:b/>
          <w:bCs/>
          <w:lang w:val="ro-RO"/>
        </w:rPr>
        <w:t>postcontractuale</w:t>
      </w:r>
      <w:proofErr w:type="spellEnd"/>
    </w:p>
    <w:p w:rsidR="00515EC0" w:rsidRPr="00866277" w:rsidRDefault="00181917" w:rsidP="00750F5A">
      <w:pPr>
        <w:ind w:firstLine="720"/>
        <w:jc w:val="both"/>
        <w:rPr>
          <w:rFonts w:eastAsia="Times New Roman"/>
          <w:bCs/>
          <w:lang w:val="ro-RO"/>
        </w:rPr>
      </w:pPr>
      <w:r w:rsidRPr="00866277">
        <w:rPr>
          <w:lang w:val="ro-RO"/>
        </w:rPr>
        <w:t>Având</w:t>
      </w:r>
      <w:r w:rsidR="003F13D0" w:rsidRPr="00866277">
        <w:rPr>
          <w:lang w:val="ro-RO"/>
        </w:rPr>
        <w:t xml:space="preserve"> ca sarcină propusă organizarea </w:t>
      </w:r>
      <w:r w:rsidR="00002A41" w:rsidRPr="00866277">
        <w:rPr>
          <w:lang w:val="ro-RO"/>
        </w:rPr>
        <w:t>activităților</w:t>
      </w:r>
      <w:r w:rsidR="003F13D0" w:rsidRPr="00866277">
        <w:rPr>
          <w:lang w:val="ro-RO"/>
        </w:rPr>
        <w:t xml:space="preserve"> de informare a </w:t>
      </w:r>
      <w:r w:rsidR="00303BA6" w:rsidRPr="00866277">
        <w:rPr>
          <w:lang w:val="ro-RO"/>
        </w:rPr>
        <w:t>pă</w:t>
      </w:r>
      <w:r w:rsidR="00002A41" w:rsidRPr="00866277">
        <w:rPr>
          <w:lang w:val="ro-RO"/>
        </w:rPr>
        <w:t>rților</w:t>
      </w:r>
      <w:r w:rsidR="003F13D0" w:rsidRPr="00866277">
        <w:rPr>
          <w:lang w:val="ro-RO"/>
        </w:rPr>
        <w:t xml:space="preserve"> interesate referitor la </w:t>
      </w:r>
      <w:r w:rsidR="00002A41" w:rsidRPr="00866277">
        <w:rPr>
          <w:lang w:val="ro-RO"/>
        </w:rPr>
        <w:t>legislația</w:t>
      </w:r>
      <w:r w:rsidR="003F13D0" w:rsidRPr="00866277">
        <w:rPr>
          <w:lang w:val="ro-RO"/>
        </w:rPr>
        <w:t xml:space="preserve"> nou-adoptată în domeniile de competență </w:t>
      </w:r>
      <w:r w:rsidR="00127BBA" w:rsidRPr="00866277">
        <w:rPr>
          <w:lang w:val="ro-RO"/>
        </w:rPr>
        <w:t>(</w:t>
      </w:r>
      <w:r w:rsidR="00127BBA" w:rsidRPr="00866277">
        <w:rPr>
          <w:b/>
          <w:lang w:val="ro-RO"/>
        </w:rPr>
        <w:t>pct.2.2.1</w:t>
      </w:r>
      <w:r w:rsidR="00127BBA" w:rsidRPr="00866277">
        <w:rPr>
          <w:lang w:val="ro-RO"/>
        </w:rPr>
        <w:t>)</w:t>
      </w:r>
      <w:r w:rsidR="003F13D0" w:rsidRPr="00866277">
        <w:rPr>
          <w:lang w:val="ro-RO"/>
        </w:rPr>
        <w:t>,</w:t>
      </w:r>
      <w:r w:rsidR="00127BBA" w:rsidRPr="00866277">
        <w:rPr>
          <w:lang w:val="ro-RO"/>
        </w:rPr>
        <w:t xml:space="preserve"> în scopul p</w:t>
      </w:r>
      <w:r w:rsidR="00127BBA" w:rsidRPr="00866277">
        <w:rPr>
          <w:rFonts w:eastAsia="Times New Roman"/>
          <w:bCs/>
          <w:lang w:val="ro-RO"/>
        </w:rPr>
        <w:t xml:space="preserve">romovării, controlului </w:t>
      </w:r>
      <w:proofErr w:type="spellStart"/>
      <w:r w:rsidR="00127BBA" w:rsidRPr="00866277">
        <w:rPr>
          <w:rFonts w:eastAsia="Times New Roman"/>
          <w:bCs/>
          <w:lang w:val="ro-RO"/>
        </w:rPr>
        <w:t>şi</w:t>
      </w:r>
      <w:proofErr w:type="spellEnd"/>
      <w:r w:rsidR="00127BBA" w:rsidRPr="00866277">
        <w:rPr>
          <w:rFonts w:eastAsia="Times New Roman"/>
          <w:bCs/>
          <w:lang w:val="ro-RO"/>
        </w:rPr>
        <w:t xml:space="preserve"> supravegherii respectării </w:t>
      </w:r>
      <w:r w:rsidR="00971FFB" w:rsidRPr="00866277">
        <w:rPr>
          <w:rFonts w:eastAsia="Times New Roman"/>
          <w:bCs/>
          <w:lang w:val="ro-RO"/>
        </w:rPr>
        <w:t>legislației</w:t>
      </w:r>
      <w:r w:rsidR="00127BBA" w:rsidRPr="00866277">
        <w:rPr>
          <w:rFonts w:eastAsia="Times New Roman"/>
          <w:bCs/>
          <w:lang w:val="ro-RO"/>
        </w:rPr>
        <w:t xml:space="preserve"> precontractuale, contractuale </w:t>
      </w:r>
      <w:proofErr w:type="spellStart"/>
      <w:r w:rsidR="00127BBA" w:rsidRPr="00866277">
        <w:rPr>
          <w:rFonts w:eastAsia="Times New Roman"/>
          <w:bCs/>
          <w:lang w:val="ro-RO"/>
        </w:rPr>
        <w:t>şi</w:t>
      </w:r>
      <w:proofErr w:type="spellEnd"/>
      <w:r w:rsidR="00127BBA" w:rsidRPr="00866277">
        <w:rPr>
          <w:rFonts w:eastAsia="Times New Roman"/>
          <w:bCs/>
          <w:lang w:val="ro-RO"/>
        </w:rPr>
        <w:t xml:space="preserve"> </w:t>
      </w:r>
      <w:proofErr w:type="spellStart"/>
      <w:r w:rsidR="00127BBA" w:rsidRPr="00866277">
        <w:rPr>
          <w:rFonts w:eastAsia="Times New Roman"/>
          <w:bCs/>
          <w:lang w:val="ro-RO"/>
        </w:rPr>
        <w:t>postcontractuale</w:t>
      </w:r>
      <w:proofErr w:type="spellEnd"/>
      <w:r w:rsidR="00127BBA" w:rsidRPr="00866277">
        <w:rPr>
          <w:rFonts w:eastAsia="Times New Roman"/>
          <w:bCs/>
          <w:lang w:val="ro-RO"/>
        </w:rPr>
        <w:t xml:space="preserve">, instituțiile responsabile au întreprins o serie de acțiuni. Astfel, </w:t>
      </w:r>
      <w:r w:rsidR="00515EC0" w:rsidRPr="00866277">
        <w:rPr>
          <w:rFonts w:eastAsia="Times New Roman"/>
          <w:bCs/>
          <w:lang w:val="ro-RO"/>
        </w:rPr>
        <w:t>pe parcursul anului 2019, APCSP</w:t>
      </w:r>
      <w:r w:rsidR="00515EC0" w:rsidRPr="00866277">
        <w:rPr>
          <w:lang w:val="ro-RO"/>
        </w:rPr>
        <w:t xml:space="preserve"> a acordat consultații unui număr de 1940 persoane din mediul de afaceri (în cadrul vizitelor de consultantă, meselor rotunde, campaniilor de informare, la Ghișeul unic, telefonic, în cadrul controalelor), cu privire la legislația cadru în domeniile de competență, noile modificări ale acestora.</w:t>
      </w:r>
    </w:p>
    <w:p w:rsidR="00515EC0" w:rsidRPr="00866277" w:rsidRDefault="00515EC0" w:rsidP="00750F5A">
      <w:pPr>
        <w:autoSpaceDE w:val="0"/>
        <w:autoSpaceDN w:val="0"/>
        <w:ind w:firstLine="720"/>
        <w:jc w:val="both"/>
        <w:rPr>
          <w:lang w:val="ro-RO"/>
        </w:rPr>
      </w:pPr>
      <w:r w:rsidRPr="00866277">
        <w:rPr>
          <w:lang w:val="ro-RO"/>
        </w:rPr>
        <w:t xml:space="preserve">Pe parcursul anului 2019, </w:t>
      </w:r>
      <w:r w:rsidRPr="00741116">
        <w:rPr>
          <w:lang w:val="ro-RO"/>
        </w:rPr>
        <w:t>423 agenți economici</w:t>
      </w:r>
      <w:r w:rsidRPr="00866277">
        <w:rPr>
          <w:lang w:val="ro-RO"/>
        </w:rPr>
        <w:t xml:space="preserve"> din comunitatea bancară (11), societățile de audit (11), casele de schimb valutar (383), hoteluri care desfășoară activitatea de schimb valutar (9) și prestatorii de servicii de plată nebancari rezidenți (9) au fost informați despre actele normative promovate și aprobate de Banca Națională a Moldovei (BNM).</w:t>
      </w:r>
    </w:p>
    <w:p w:rsidR="00515EC0" w:rsidRPr="00866277" w:rsidRDefault="00515EC0" w:rsidP="00750F5A">
      <w:pPr>
        <w:ind w:firstLine="720"/>
        <w:jc w:val="both"/>
        <w:rPr>
          <w:lang w:val="ro-RO"/>
        </w:rPr>
      </w:pPr>
      <w:r w:rsidRPr="00866277">
        <w:rPr>
          <w:lang w:val="ro-RO"/>
        </w:rPr>
        <w:t>Totodată, pe parcursul anului 2019, BNM a promovat actele normative elaborate/ modificate/completate și a publicat anunțuri privind inițierea elaborării unor proiecte de acte normative.</w:t>
      </w:r>
    </w:p>
    <w:p w:rsidR="00515EC0" w:rsidRPr="00741116" w:rsidRDefault="00515EC0" w:rsidP="00750F5A">
      <w:pPr>
        <w:ind w:firstLine="720"/>
        <w:jc w:val="both"/>
        <w:rPr>
          <w:u w:val="single"/>
          <w:lang w:val="ro-RO"/>
        </w:rPr>
      </w:pPr>
      <w:r w:rsidRPr="00741116">
        <w:rPr>
          <w:u w:val="single"/>
          <w:lang w:val="ro-RO"/>
        </w:rPr>
        <w:t>Acte noi:</w:t>
      </w:r>
    </w:p>
    <w:p w:rsidR="00515EC0" w:rsidRPr="00866277" w:rsidRDefault="00515EC0" w:rsidP="00750F5A">
      <w:pPr>
        <w:ind w:firstLine="720"/>
        <w:jc w:val="both"/>
        <w:rPr>
          <w:lang w:val="ro-RO"/>
        </w:rPr>
      </w:pPr>
      <w:r w:rsidRPr="00866277">
        <w:rPr>
          <w:i/>
          <w:lang w:val="ro-RO"/>
        </w:rPr>
        <w:t>- Regulamentul privind controalele pe teren la prestatorii de servicii de plată nebancari și criteriile de aplicare a măsurilor de remediere și a sancțiunilor</w:t>
      </w:r>
      <w:r w:rsidRPr="00866277">
        <w:rPr>
          <w:lang w:val="ro-RO"/>
        </w:rPr>
        <w:t>, aprobat prin Hotărârea Comitetului executiv al BNM nr. 326 din 11.12.2019;</w:t>
      </w:r>
    </w:p>
    <w:p w:rsidR="00515EC0" w:rsidRPr="00866277" w:rsidRDefault="00515EC0" w:rsidP="00750F5A">
      <w:pPr>
        <w:ind w:firstLine="720"/>
        <w:jc w:val="both"/>
        <w:rPr>
          <w:lang w:val="ro-RO"/>
        </w:rPr>
      </w:pPr>
      <w:r w:rsidRPr="00866277">
        <w:rPr>
          <w:lang w:val="ro-RO"/>
        </w:rPr>
        <w:t xml:space="preserve">- </w:t>
      </w:r>
      <w:r w:rsidRPr="00866277">
        <w:rPr>
          <w:i/>
          <w:lang w:val="ro-RO"/>
        </w:rPr>
        <w:t>Regulamentul cu privire la activitatea prestatorilor de servicii de plată nebancari</w:t>
      </w:r>
      <w:r w:rsidRPr="00866277">
        <w:rPr>
          <w:lang w:val="ro-RO"/>
        </w:rPr>
        <w:t>, aprobat prin Hotărârea Comitetului executiv al BNM nr. 217 din 16.08.2019;</w:t>
      </w:r>
    </w:p>
    <w:p w:rsidR="00515EC0" w:rsidRPr="00866277" w:rsidRDefault="00515EC0" w:rsidP="00750F5A">
      <w:pPr>
        <w:ind w:firstLine="720"/>
        <w:jc w:val="both"/>
        <w:rPr>
          <w:lang w:val="ro-RO"/>
        </w:rPr>
      </w:pPr>
      <w:r w:rsidRPr="00866277">
        <w:rPr>
          <w:lang w:val="ro-RO"/>
        </w:rPr>
        <w:t xml:space="preserve">- </w:t>
      </w:r>
      <w:r w:rsidRPr="00866277">
        <w:rPr>
          <w:i/>
          <w:lang w:val="ro-RO"/>
        </w:rPr>
        <w:t>Regulamentul cu privire la sistemul automatizat de plăți interbancare</w:t>
      </w:r>
      <w:r w:rsidRPr="00866277">
        <w:rPr>
          <w:lang w:val="ro-RO"/>
        </w:rPr>
        <w:t>, aprobat prin Hotărârea Comitetului executiv al BNM nr. 179 din 27.06. 2019;</w:t>
      </w:r>
    </w:p>
    <w:p w:rsidR="00515EC0" w:rsidRPr="00866277" w:rsidRDefault="00515EC0" w:rsidP="00750F5A">
      <w:pPr>
        <w:ind w:firstLine="720"/>
        <w:jc w:val="both"/>
        <w:rPr>
          <w:lang w:val="ro-RO"/>
        </w:rPr>
      </w:pPr>
      <w:r w:rsidRPr="00866277">
        <w:rPr>
          <w:lang w:val="ro-RO"/>
        </w:rPr>
        <w:t xml:space="preserve">- </w:t>
      </w:r>
      <w:r w:rsidRPr="00866277">
        <w:rPr>
          <w:i/>
          <w:lang w:val="ro-RO"/>
        </w:rPr>
        <w:t>Regulamentul cu privire la participațiuni în prestatorii de servicii de plată nebancari</w:t>
      </w:r>
      <w:r w:rsidRPr="00866277">
        <w:rPr>
          <w:lang w:val="ro-RO"/>
        </w:rPr>
        <w:t>, aprobat prin Hotărârea Comitetului executiv al BNM nr. 159 din 5.06.2019;</w:t>
      </w:r>
    </w:p>
    <w:p w:rsidR="00515EC0" w:rsidRPr="00866277" w:rsidRDefault="00515EC0" w:rsidP="00750F5A">
      <w:pPr>
        <w:ind w:firstLine="720"/>
        <w:jc w:val="both"/>
        <w:rPr>
          <w:lang w:val="ro-RO"/>
        </w:rPr>
      </w:pPr>
      <w:r w:rsidRPr="00866277">
        <w:rPr>
          <w:lang w:val="ro-RO"/>
        </w:rPr>
        <w:t xml:space="preserve">- </w:t>
      </w:r>
      <w:r w:rsidRPr="00866277">
        <w:rPr>
          <w:i/>
          <w:lang w:val="ro-RO"/>
        </w:rPr>
        <w:t>Regulamentul cu privire la activitatea de creditare a prestatorilor de servicii de plată nebancari</w:t>
      </w:r>
      <w:r w:rsidRPr="00866277">
        <w:rPr>
          <w:lang w:val="ro-RO"/>
        </w:rPr>
        <w:t>, aprobat Hotărârea Comitetului executiv al BNM nr. 158 din 5 iunie 2019;</w:t>
      </w:r>
    </w:p>
    <w:p w:rsidR="00515EC0" w:rsidRPr="00866277" w:rsidRDefault="00515EC0" w:rsidP="00750F5A">
      <w:pPr>
        <w:ind w:firstLine="720"/>
        <w:jc w:val="both"/>
        <w:rPr>
          <w:lang w:val="ro-RO"/>
        </w:rPr>
      </w:pPr>
      <w:r w:rsidRPr="00866277">
        <w:rPr>
          <w:lang w:val="ro-RO"/>
        </w:rPr>
        <w:t xml:space="preserve">- Hotărârea Comitetului executiv al BNM nr. 180 din 27.06.2019 </w:t>
      </w:r>
      <w:r w:rsidRPr="00866277">
        <w:rPr>
          <w:i/>
          <w:lang w:val="ro-RO"/>
        </w:rPr>
        <w:t xml:space="preserve">privind comisioanele aplicate pentru </w:t>
      </w:r>
      <w:proofErr w:type="spellStart"/>
      <w:r w:rsidRPr="00866277">
        <w:rPr>
          <w:i/>
          <w:lang w:val="ro-RO"/>
        </w:rPr>
        <w:t>operaţiunile</w:t>
      </w:r>
      <w:proofErr w:type="spellEnd"/>
      <w:r w:rsidRPr="00866277">
        <w:rPr>
          <w:i/>
          <w:lang w:val="ro-RO"/>
        </w:rPr>
        <w:t xml:space="preserve"> de plată efectuate printr-un card de plată sau printr-un dispozitiv asemănător, ale comisioanelor aplicate de către prestatorii de servicii de plată pentru </w:t>
      </w:r>
      <w:proofErr w:type="spellStart"/>
      <w:r w:rsidRPr="00866277">
        <w:rPr>
          <w:i/>
          <w:lang w:val="ro-RO"/>
        </w:rPr>
        <w:t>operaţiunile</w:t>
      </w:r>
      <w:proofErr w:type="spellEnd"/>
      <w:r w:rsidRPr="00866277">
        <w:rPr>
          <w:i/>
          <w:lang w:val="ro-RO"/>
        </w:rPr>
        <w:t xml:space="preserve"> de plată ce presupun utilizarea sistemului automatizat de </w:t>
      </w:r>
      <w:proofErr w:type="spellStart"/>
      <w:r w:rsidRPr="00866277">
        <w:rPr>
          <w:i/>
          <w:lang w:val="ro-RO"/>
        </w:rPr>
        <w:t>plăţi</w:t>
      </w:r>
      <w:proofErr w:type="spellEnd"/>
      <w:r w:rsidRPr="00866277">
        <w:rPr>
          <w:i/>
          <w:lang w:val="ro-RO"/>
        </w:rPr>
        <w:t xml:space="preserve"> interbancare </w:t>
      </w:r>
      <w:proofErr w:type="spellStart"/>
      <w:r w:rsidRPr="00866277">
        <w:rPr>
          <w:i/>
          <w:lang w:val="ro-RO"/>
        </w:rPr>
        <w:t>şi</w:t>
      </w:r>
      <w:proofErr w:type="spellEnd"/>
      <w:r w:rsidRPr="00866277">
        <w:rPr>
          <w:i/>
          <w:lang w:val="ro-RO"/>
        </w:rPr>
        <w:t xml:space="preserve"> ale comisioanelor percepute de BNM pentru </w:t>
      </w:r>
      <w:proofErr w:type="spellStart"/>
      <w:r w:rsidRPr="00866277">
        <w:rPr>
          <w:i/>
          <w:lang w:val="ro-RO"/>
        </w:rPr>
        <w:t>plăţile</w:t>
      </w:r>
      <w:proofErr w:type="spellEnd"/>
      <w:r w:rsidRPr="00866277">
        <w:rPr>
          <w:i/>
          <w:lang w:val="ro-RO"/>
        </w:rPr>
        <w:t xml:space="preserve"> procesate în sistemul automatizat de </w:t>
      </w:r>
      <w:proofErr w:type="spellStart"/>
      <w:r w:rsidRPr="00866277">
        <w:rPr>
          <w:i/>
          <w:lang w:val="ro-RO"/>
        </w:rPr>
        <w:t>plăţi</w:t>
      </w:r>
      <w:proofErr w:type="spellEnd"/>
      <w:r w:rsidRPr="00866277">
        <w:rPr>
          <w:i/>
          <w:lang w:val="ro-RO"/>
        </w:rPr>
        <w:t xml:space="preserve"> interbancare.</w:t>
      </w:r>
    </w:p>
    <w:p w:rsidR="00515EC0" w:rsidRPr="00741116" w:rsidRDefault="00515EC0" w:rsidP="00750F5A">
      <w:pPr>
        <w:ind w:firstLine="720"/>
        <w:jc w:val="both"/>
        <w:rPr>
          <w:lang w:val="ro-RO"/>
        </w:rPr>
      </w:pPr>
      <w:r w:rsidRPr="00741116">
        <w:rPr>
          <w:lang w:val="ro-RO"/>
        </w:rPr>
        <w:t>Acte modificate:</w:t>
      </w:r>
    </w:p>
    <w:p w:rsidR="00515EC0" w:rsidRPr="00866277" w:rsidRDefault="00515EC0" w:rsidP="00750F5A">
      <w:pPr>
        <w:ind w:firstLine="720"/>
        <w:jc w:val="both"/>
        <w:rPr>
          <w:lang w:val="ro-RO"/>
        </w:rPr>
      </w:pPr>
      <w:r w:rsidRPr="00866277">
        <w:rPr>
          <w:lang w:val="ro-RO"/>
        </w:rPr>
        <w:t>-</w:t>
      </w:r>
      <w:r w:rsidR="00294A9D">
        <w:rPr>
          <w:lang w:val="ro-RO"/>
        </w:rPr>
        <w:t xml:space="preserve"> </w:t>
      </w:r>
      <w:r w:rsidRPr="00866277">
        <w:rPr>
          <w:i/>
          <w:lang w:val="ro-RO"/>
        </w:rPr>
        <w:t>Regulamentul cu privire la transferul de credit</w:t>
      </w:r>
      <w:r w:rsidRPr="00866277">
        <w:rPr>
          <w:lang w:val="ro-RO"/>
        </w:rPr>
        <w:t xml:space="preserve">, aprobat prin Hotărârea Consiliului de administrație al BNM nr.157/2013, modificat prin Hotărârea nr. 179  din  27.06.2019 privind aprobarea Regulamentului cu privire la sistemul automatizat de </w:t>
      </w:r>
      <w:proofErr w:type="spellStart"/>
      <w:r w:rsidRPr="00866277">
        <w:rPr>
          <w:lang w:val="ro-RO"/>
        </w:rPr>
        <w:t>plăţi</w:t>
      </w:r>
      <w:proofErr w:type="spellEnd"/>
      <w:r w:rsidRPr="00866277">
        <w:rPr>
          <w:lang w:val="ro-RO"/>
        </w:rPr>
        <w:t xml:space="preserve"> interbancare, modificarea </w:t>
      </w:r>
      <w:proofErr w:type="spellStart"/>
      <w:r w:rsidRPr="00866277">
        <w:rPr>
          <w:lang w:val="ro-RO"/>
        </w:rPr>
        <w:t>şi</w:t>
      </w:r>
      <w:proofErr w:type="spellEnd"/>
      <w:r w:rsidRPr="00866277">
        <w:rPr>
          <w:lang w:val="ro-RO"/>
        </w:rPr>
        <w:t xml:space="preserve"> abrogarea unor acte normative ale BNM. </w:t>
      </w:r>
    </w:p>
    <w:p w:rsidR="00515EC0" w:rsidRPr="00866277" w:rsidRDefault="00515EC0" w:rsidP="00750F5A">
      <w:pPr>
        <w:ind w:firstLine="720"/>
        <w:jc w:val="both"/>
        <w:rPr>
          <w:lang w:val="ro-RO"/>
        </w:rPr>
      </w:pPr>
      <w:r w:rsidRPr="00866277">
        <w:rPr>
          <w:lang w:val="ro-RO"/>
        </w:rPr>
        <w:t>Actele normative sus-menționate, precum și modificările aduse acestora au fost însoțite de toate anunțurile și publicările premergătoare adoptării, iar promovarea acestora s-a efectuat cu respectarea cerințelor legislației privind transparența în procesul decizional (publicarea pe pagina-web oficială a BNM a proiectelor actelor normative, consultarea publică a proiectelor).</w:t>
      </w:r>
    </w:p>
    <w:p w:rsidR="00030BB0" w:rsidRPr="00866277" w:rsidRDefault="00750F5A" w:rsidP="00750F5A">
      <w:pPr>
        <w:ind w:firstLine="720"/>
        <w:jc w:val="both"/>
        <w:rPr>
          <w:lang w:val="ro-RO"/>
        </w:rPr>
      </w:pPr>
      <w:r w:rsidRPr="00866277">
        <w:rPr>
          <w:lang w:val="ro-RO"/>
        </w:rPr>
        <w:t>În domeniul financiar nebancar, p</w:t>
      </w:r>
      <w:r w:rsidR="00030BB0" w:rsidRPr="00866277">
        <w:rPr>
          <w:lang w:val="ro-RO"/>
        </w:rPr>
        <w:t>e parcursul anului 2019 au fost elaborate următoarele proiecte de legi care vizează activitatea participanților pieței financiare nebancare și protecția consumatorilor.</w:t>
      </w:r>
    </w:p>
    <w:p w:rsidR="00030BB0" w:rsidRPr="00866277" w:rsidRDefault="00741116" w:rsidP="00750F5A">
      <w:pPr>
        <w:ind w:firstLine="720"/>
        <w:jc w:val="both"/>
        <w:rPr>
          <w:lang w:val="ro-RO"/>
        </w:rPr>
      </w:pPr>
      <w:r w:rsidRPr="00741116">
        <w:rPr>
          <w:bCs/>
          <w:u w:val="single"/>
          <w:lang w:val="ro-RO"/>
        </w:rPr>
        <w:t xml:space="preserve">- </w:t>
      </w:r>
      <w:r w:rsidR="00030BB0" w:rsidRPr="00741116">
        <w:rPr>
          <w:bCs/>
          <w:u w:val="single"/>
          <w:lang w:val="ro-RO"/>
        </w:rPr>
        <w:t>Proiectul de lege pentru modificarea unor acte legislative</w:t>
      </w:r>
      <w:r w:rsidR="00030BB0" w:rsidRPr="00866277">
        <w:rPr>
          <w:bCs/>
          <w:lang w:val="ro-RO"/>
        </w:rPr>
        <w:t xml:space="preserve"> (</w:t>
      </w:r>
      <w:r w:rsidR="00030BB0" w:rsidRPr="00866277">
        <w:rPr>
          <w:bCs/>
          <w:i/>
          <w:lang w:val="ro-RO"/>
        </w:rPr>
        <w:t>Legea nr.1/2018 cu privire la organizațiile de creditare nebancară, Legea nr. 122/2008 privind birourile istoriilor de credit și alte legi</w:t>
      </w:r>
      <w:r w:rsidR="00030BB0" w:rsidRPr="00866277">
        <w:rPr>
          <w:bCs/>
          <w:lang w:val="ro-RO"/>
        </w:rPr>
        <w:t xml:space="preserve">) are drept scop consolidarea stabilității financiare a sectorului de creditare nebancară și promovarea protecției consumatorului și a unor practici de creditare responsabilă în vederea reducerii riscurilor de </w:t>
      </w:r>
      <w:proofErr w:type="spellStart"/>
      <w:r w:rsidR="00030BB0" w:rsidRPr="00866277">
        <w:rPr>
          <w:bCs/>
          <w:lang w:val="ro-RO"/>
        </w:rPr>
        <w:t>supraîndatorare</w:t>
      </w:r>
      <w:proofErr w:type="spellEnd"/>
      <w:r w:rsidR="00030BB0" w:rsidRPr="00866277">
        <w:rPr>
          <w:bCs/>
          <w:lang w:val="ro-RO"/>
        </w:rPr>
        <w:t xml:space="preserve"> a populației și ajustarea legilor care au tangență cu activitatea organizațiilor de creditare nebancară cu prevederile Legii nr.1/2018. </w:t>
      </w:r>
      <w:r w:rsidR="00030BB0" w:rsidRPr="00866277">
        <w:rPr>
          <w:lang w:val="ro-RO"/>
        </w:rPr>
        <w:t>Varianta ajustată a proiectului legii a fost transmisă Ministerului Finanțelor pentru promovare în Guvernul Republicii Moldova.</w:t>
      </w:r>
    </w:p>
    <w:p w:rsidR="00030BB0" w:rsidRPr="00866277" w:rsidRDefault="007F2688" w:rsidP="00750F5A">
      <w:pPr>
        <w:ind w:firstLine="720"/>
        <w:jc w:val="both"/>
        <w:rPr>
          <w:lang w:val="ro-RO"/>
        </w:rPr>
      </w:pPr>
      <w:r w:rsidRPr="00866277">
        <w:rPr>
          <w:b/>
          <w:lang w:val="ro-RO"/>
        </w:rPr>
        <w:lastRenderedPageBreak/>
        <w:t xml:space="preserve">- </w:t>
      </w:r>
      <w:r w:rsidR="00030BB0" w:rsidRPr="00866277">
        <w:rPr>
          <w:u w:val="single"/>
          <w:lang w:val="ro-RO"/>
        </w:rPr>
        <w:t>Proiectul de Lege privind organismele de plasament colectiv alternative (nr. 384 din 09.11.2018)</w:t>
      </w:r>
      <w:r w:rsidR="00030BB0" w:rsidRPr="00866277">
        <w:rPr>
          <w:b/>
          <w:lang w:val="ro-RO"/>
        </w:rPr>
        <w:t xml:space="preserve"> </w:t>
      </w:r>
      <w:r w:rsidR="00030BB0" w:rsidRPr="00866277">
        <w:rPr>
          <w:lang w:val="ro-RO"/>
        </w:rPr>
        <w:t xml:space="preserve"> stabilește condițiile de constituire și funcționare a organismelor de plasament colectiv alternative (OPCA), care în comparație cu organismele de plasament colectiv de tip deschis, sunt în drept să efectueze investiții în economie, în special, în ramurile moderne, care presupun un grad de risc sporit sau greu de evaluat, precum și în proiecte economice care conțin un nivel mare de inovații. Concomitent, în vederea protecției drepturilor investitorilor, proiectul stabilește: cerințe de licențiere față de societățile de administrare, inclusiv cerințe minime de capital, obligativitatea încheierii unui contract cu depozitarii activelor OPCA, rigori față de politicile de investiții ale OPCA, precum și cerințe de dezvăluire a informației și raportare a activității către investitori și CNPF. Proiectul de lege a fost</w:t>
      </w:r>
      <w:r w:rsidR="00030BB0" w:rsidRPr="00866277">
        <w:rPr>
          <w:b/>
          <w:lang w:val="ro-RO"/>
        </w:rPr>
        <w:t xml:space="preserve"> </w:t>
      </w:r>
      <w:r w:rsidR="00030BB0" w:rsidRPr="00866277">
        <w:rPr>
          <w:lang w:val="ro-RO"/>
        </w:rPr>
        <w:t>aprobat în a doua lectură în ședința Parlamentului</w:t>
      </w:r>
      <w:r w:rsidR="00030BB0" w:rsidRPr="00866277">
        <w:rPr>
          <w:b/>
          <w:lang w:val="ro-RO"/>
        </w:rPr>
        <w:t xml:space="preserve"> </w:t>
      </w:r>
      <w:r w:rsidR="00030BB0" w:rsidRPr="00866277">
        <w:rPr>
          <w:lang w:val="ro-RO"/>
        </w:rPr>
        <w:t>RM din 06.02.2020.</w:t>
      </w:r>
    </w:p>
    <w:p w:rsidR="00030BB0" w:rsidRPr="00866277" w:rsidRDefault="007F2688" w:rsidP="00750F5A">
      <w:pPr>
        <w:ind w:firstLine="720"/>
        <w:jc w:val="both"/>
        <w:rPr>
          <w:lang w:val="ro-RO"/>
        </w:rPr>
      </w:pPr>
      <w:r w:rsidRPr="00866277">
        <w:rPr>
          <w:b/>
          <w:lang w:val="ro-RO"/>
        </w:rPr>
        <w:t xml:space="preserve">- </w:t>
      </w:r>
      <w:r w:rsidR="00030BB0" w:rsidRPr="00866277">
        <w:rPr>
          <w:u w:val="single"/>
          <w:lang w:val="ro-RO"/>
        </w:rPr>
        <w:t>Proiectul de Lege privind fondurile de pensii facultative</w:t>
      </w:r>
      <w:r w:rsidR="00030BB0" w:rsidRPr="00866277">
        <w:rPr>
          <w:b/>
          <w:lang w:val="ro-RO"/>
        </w:rPr>
        <w:t xml:space="preserve"> </w:t>
      </w:r>
      <w:r w:rsidR="00030BB0" w:rsidRPr="00866277">
        <w:rPr>
          <w:lang w:val="ro-RO"/>
        </w:rPr>
        <w:t xml:space="preserve">are drept scop reformarea cadrului legal existent în domeniul fondurilor de pensii la bunele practici internaționale, scopul fiind instituirea unei piețe interne pentru acumularea și oferirea de pensii facultative, administrate în mod privat, capitalizate, care să servească surse pentru completarea veniturilor provenite din sistemele publice de pensii, în </w:t>
      </w:r>
      <w:proofErr w:type="spellStart"/>
      <w:r w:rsidR="00030BB0" w:rsidRPr="00866277">
        <w:rPr>
          <w:lang w:val="ro-RO"/>
        </w:rPr>
        <w:t>condiţii</w:t>
      </w:r>
      <w:proofErr w:type="spellEnd"/>
      <w:r w:rsidR="00030BB0" w:rsidRPr="00866277">
        <w:rPr>
          <w:lang w:val="ro-RO"/>
        </w:rPr>
        <w:t xml:space="preserve"> de siguranță </w:t>
      </w:r>
      <w:proofErr w:type="spellStart"/>
      <w:r w:rsidR="00030BB0" w:rsidRPr="00866277">
        <w:rPr>
          <w:lang w:val="ro-RO"/>
        </w:rPr>
        <w:t>şi</w:t>
      </w:r>
      <w:proofErr w:type="spellEnd"/>
      <w:r w:rsidR="00030BB0" w:rsidRPr="00866277">
        <w:rPr>
          <w:lang w:val="ro-RO"/>
        </w:rPr>
        <w:t xml:space="preserve"> de tratament echitabil pentru participanții corespunzători. </w:t>
      </w:r>
      <w:r w:rsidR="00030BB0" w:rsidRPr="00866277">
        <w:rPr>
          <w:rFonts w:eastAsia="Times New Roman"/>
          <w:lang w:val="ro-RO"/>
        </w:rPr>
        <w:t xml:space="preserve">Proiectul de lege a fost aprobat în cadrul ședinței Secretarilor generali din 05.12.2019 și este în proces de avizare/expertizare și </w:t>
      </w:r>
      <w:r w:rsidR="00030BB0" w:rsidRPr="00866277">
        <w:rPr>
          <w:lang w:val="ro-RO"/>
        </w:rPr>
        <w:t>consultare publică</w:t>
      </w:r>
      <w:r w:rsidR="00030BB0" w:rsidRPr="00866277">
        <w:rPr>
          <w:rFonts w:eastAsia="Times New Roman"/>
          <w:lang w:val="ro-RO"/>
        </w:rPr>
        <w:t>.</w:t>
      </w:r>
    </w:p>
    <w:p w:rsidR="00030BB0" w:rsidRPr="00866277" w:rsidRDefault="007F2688" w:rsidP="00750F5A">
      <w:pPr>
        <w:ind w:firstLine="720"/>
        <w:jc w:val="both"/>
        <w:rPr>
          <w:lang w:val="ro-RO"/>
        </w:rPr>
      </w:pPr>
      <w:r w:rsidRPr="00866277">
        <w:rPr>
          <w:b/>
          <w:lang w:val="ro-RO"/>
        </w:rPr>
        <w:t xml:space="preserve">- </w:t>
      </w:r>
      <w:r w:rsidR="00030BB0" w:rsidRPr="00866277">
        <w:rPr>
          <w:u w:val="single"/>
          <w:lang w:val="ro-RO"/>
        </w:rPr>
        <w:t>Proiectul de Lege privind activitatea de asigurare și reasigurare</w:t>
      </w:r>
      <w:r w:rsidR="00030BB0" w:rsidRPr="00866277">
        <w:rPr>
          <w:lang w:val="ro-RO"/>
        </w:rPr>
        <w:t xml:space="preserve"> are drept scop transpunerea în legislația națională a cadrului european de supraveghere în concordanță cu prevederile Directivei (UE) nr.2009/138 din 25.11.2009 privind accesul la activitate și desfășurarea activității de asigurare și reasigurare (</w:t>
      </w:r>
      <w:proofErr w:type="spellStart"/>
      <w:r w:rsidR="00030BB0" w:rsidRPr="00866277">
        <w:rPr>
          <w:lang w:val="ro-RO"/>
        </w:rPr>
        <w:t>Solvency</w:t>
      </w:r>
      <w:proofErr w:type="spellEnd"/>
      <w:r w:rsidR="00030BB0" w:rsidRPr="00866277">
        <w:rPr>
          <w:lang w:val="ro-RO"/>
        </w:rPr>
        <w:t xml:space="preserve"> II). În acest sens se va consolida sectorul de asigurări și se vor institui pilonii principali pentru implementarea regimului Solvabilitatea II (punerea în aplicare a cerințelor de guvernanță internă și de gestionare a riscurilor de către asigurători, consolidarea capacităților personalului CNPF pentru evaluarea guvernanței și a riscurilor etc.). </w:t>
      </w:r>
      <w:r w:rsidR="00030BB0" w:rsidRPr="00866277">
        <w:rPr>
          <w:rFonts w:eastAsia="Times New Roman"/>
          <w:lang w:val="ro-RO"/>
        </w:rPr>
        <w:t xml:space="preserve">Proiectul de lege a fost aprobat în cadrul ședinței Secretarilor generali din 26.12.2019 și este în proces de avizare/expertizare și </w:t>
      </w:r>
      <w:r w:rsidR="00030BB0" w:rsidRPr="00866277">
        <w:rPr>
          <w:lang w:val="ro-RO"/>
        </w:rPr>
        <w:t>consultare publică</w:t>
      </w:r>
      <w:r w:rsidR="00030BB0" w:rsidRPr="00866277">
        <w:rPr>
          <w:rFonts w:eastAsia="Times New Roman"/>
          <w:lang w:val="ro-RO"/>
        </w:rPr>
        <w:t>.</w:t>
      </w:r>
    </w:p>
    <w:p w:rsidR="00030BB0" w:rsidRPr="00866277" w:rsidRDefault="007F2688" w:rsidP="00750F5A">
      <w:pPr>
        <w:ind w:firstLine="720"/>
        <w:jc w:val="both"/>
        <w:rPr>
          <w:lang w:val="ro-RO"/>
        </w:rPr>
      </w:pPr>
      <w:r w:rsidRPr="00866277">
        <w:rPr>
          <w:b/>
          <w:lang w:val="ro-RO"/>
        </w:rPr>
        <w:t xml:space="preserve">- </w:t>
      </w:r>
      <w:r w:rsidR="00030BB0" w:rsidRPr="00866277">
        <w:rPr>
          <w:u w:val="single"/>
          <w:lang w:val="ro-RO"/>
        </w:rPr>
        <w:t>Proiectul de Lege privind asigurarea obligatorie de răspundere civilă auto pentru prejudicii produse de vehicule</w:t>
      </w:r>
      <w:r w:rsidR="00030BB0" w:rsidRPr="00866277">
        <w:rPr>
          <w:lang w:val="ro-RO"/>
        </w:rPr>
        <w:t xml:space="preserve"> are drept scop transpunerea în legislația națională a prevederilor Directivei 2009/103 din 16.09.2009 privind asigurarea de răspundere civilă auto și controlul obligației de asigurare a acestei răspunderi și ajustarea cadrului normativ la cele mai bune practici în domeniu, aplicate la nivel european și internațional. Proiectul legii este în proces de pregătire pentru a fi transmis MF pentru inițierea procedurii de avizare/expertizare și consultare publică.</w:t>
      </w:r>
    </w:p>
    <w:p w:rsidR="00030BB0" w:rsidRPr="00866277" w:rsidRDefault="007F2688" w:rsidP="00750F5A">
      <w:pPr>
        <w:ind w:firstLine="720"/>
        <w:jc w:val="both"/>
        <w:rPr>
          <w:lang w:val="ro-RO"/>
        </w:rPr>
      </w:pPr>
      <w:r w:rsidRPr="00866277">
        <w:rPr>
          <w:b/>
          <w:lang w:val="ro-RO"/>
        </w:rPr>
        <w:t xml:space="preserve">- </w:t>
      </w:r>
      <w:r w:rsidR="00030BB0" w:rsidRPr="00866277">
        <w:rPr>
          <w:u w:val="single"/>
          <w:lang w:val="ro-RO"/>
        </w:rPr>
        <w:t>Proiectul Legii privind Fondul Național de Garanție în asigurări</w:t>
      </w:r>
      <w:r w:rsidR="00030BB0" w:rsidRPr="00866277">
        <w:rPr>
          <w:b/>
          <w:lang w:val="ro-RO"/>
        </w:rPr>
        <w:t xml:space="preserve"> </w:t>
      </w:r>
      <w:r w:rsidR="00030BB0" w:rsidRPr="00866277">
        <w:rPr>
          <w:lang w:val="ro-RO"/>
        </w:rPr>
        <w:t xml:space="preserve">prevede garantarea drepturilor și intereselor asiguraților pentru asigurările obligatorii (RCA și Carte Verde), precum și pentru asigurările facultative – în cazul declanșării procedurii de insolvabilitate a asigurătorilor. De asemenea, proiectul de lege  reglementează procedura de constituire, administrare </w:t>
      </w:r>
      <w:proofErr w:type="spellStart"/>
      <w:r w:rsidR="00030BB0" w:rsidRPr="00866277">
        <w:rPr>
          <w:lang w:val="ro-RO"/>
        </w:rPr>
        <w:t>şi</w:t>
      </w:r>
      <w:proofErr w:type="spellEnd"/>
      <w:r w:rsidR="00030BB0" w:rsidRPr="00866277">
        <w:rPr>
          <w:lang w:val="ro-RO"/>
        </w:rPr>
        <w:t xml:space="preserve"> utilizare a mijloacelor Fondului național de garanție în asigurări, precum </w:t>
      </w:r>
      <w:proofErr w:type="spellStart"/>
      <w:r w:rsidR="00030BB0" w:rsidRPr="00866277">
        <w:rPr>
          <w:lang w:val="ro-RO"/>
        </w:rPr>
        <w:t>şi</w:t>
      </w:r>
      <w:proofErr w:type="spellEnd"/>
      <w:r w:rsidR="00030BB0" w:rsidRPr="00866277">
        <w:rPr>
          <w:lang w:val="ro-RO"/>
        </w:rPr>
        <w:t xml:space="preserve"> procedurile specifice de plată a sumelor cuvenite creditorilor de asigurări în cazul insolvabilității asigurătorilor. Proiectul legii a fost transmis MF pentru inițierea procedurii de avizare/expertizare și consultare publică.</w:t>
      </w:r>
    </w:p>
    <w:p w:rsidR="00030BB0" w:rsidRPr="00866277" w:rsidRDefault="00030BB0" w:rsidP="00750F5A">
      <w:pPr>
        <w:ind w:firstLine="720"/>
        <w:jc w:val="both"/>
        <w:rPr>
          <w:lang w:val="ro-RO" w:eastAsia="ru-RU"/>
        </w:rPr>
      </w:pPr>
      <w:r w:rsidRPr="00866277">
        <w:rPr>
          <w:lang w:val="ro-RO" w:eastAsia="ru-RU"/>
        </w:rPr>
        <w:t>Cu referire la elaborarea/amendarea cadrului normativ aferent pieței financiare nebancare:</w:t>
      </w:r>
    </w:p>
    <w:p w:rsidR="00030BB0" w:rsidRPr="00866277" w:rsidRDefault="00030BB0" w:rsidP="00750F5A">
      <w:pPr>
        <w:ind w:firstLine="720"/>
        <w:jc w:val="both"/>
        <w:rPr>
          <w:lang w:val="ro-RO" w:eastAsia="ru-RU"/>
        </w:rPr>
      </w:pPr>
      <w:r w:rsidRPr="00866277">
        <w:rPr>
          <w:lang w:val="ro-RO" w:eastAsia="ru-RU"/>
        </w:rPr>
        <w:t xml:space="preserve">- în domeniul asigurărilor au fost elaborate și aprobate </w:t>
      </w:r>
      <w:r w:rsidRPr="004B2F73">
        <w:rPr>
          <w:u w:val="single"/>
          <w:lang w:val="ro-RO" w:eastAsia="ru-RU"/>
        </w:rPr>
        <w:t xml:space="preserve">16 </w:t>
      </w:r>
      <w:r w:rsidRPr="00866277">
        <w:rPr>
          <w:bCs/>
          <w:lang w:val="ro-RO" w:eastAsia="ru-RU"/>
        </w:rPr>
        <w:t xml:space="preserve">acte normative </w:t>
      </w:r>
      <w:r w:rsidRPr="00866277">
        <w:rPr>
          <w:lang w:val="ro-RO" w:eastAsia="ru-RU"/>
        </w:rPr>
        <w:t>subordonate Legii nr.407/2006 cu privire la asigurări și Legii 414/2006 cu privire la a asigurarea obligatorie de răspundere civilă pentru pagube produse de autovehicule (7regulamente noi și 9 regulamente modificate), având ca obiectiv</w:t>
      </w:r>
      <w:r w:rsidRPr="00866277">
        <w:rPr>
          <w:bCs/>
          <w:lang w:val="ro-RO" w:eastAsia="ru-RU"/>
        </w:rPr>
        <w:t xml:space="preserve"> punerea în aplicare a noului cadru normativ privind </w:t>
      </w:r>
      <w:proofErr w:type="spellStart"/>
      <w:r w:rsidRPr="00866277">
        <w:rPr>
          <w:bCs/>
          <w:lang w:val="ro-RO" w:eastAsia="ru-RU"/>
        </w:rPr>
        <w:t>piaţa</w:t>
      </w:r>
      <w:proofErr w:type="spellEnd"/>
      <w:r w:rsidRPr="00866277">
        <w:rPr>
          <w:bCs/>
          <w:lang w:val="ro-RO" w:eastAsia="ru-RU"/>
        </w:rPr>
        <w:t xml:space="preserve"> de asigurări </w:t>
      </w:r>
      <w:proofErr w:type="spellStart"/>
      <w:r w:rsidRPr="00866277">
        <w:rPr>
          <w:bCs/>
          <w:lang w:val="ro-RO" w:eastAsia="ru-RU"/>
        </w:rPr>
        <w:t>şi</w:t>
      </w:r>
      <w:proofErr w:type="spellEnd"/>
      <w:r w:rsidRPr="00866277">
        <w:rPr>
          <w:bCs/>
          <w:lang w:val="ro-RO" w:eastAsia="ru-RU"/>
        </w:rPr>
        <w:t xml:space="preserve"> aferente liberalizării tarifelor pentru asigurările obligatorii de răspundere civilă auto</w:t>
      </w:r>
      <w:r w:rsidRPr="00866277">
        <w:rPr>
          <w:lang w:val="ro-RO" w:eastAsia="ru-RU"/>
        </w:rPr>
        <w:t xml:space="preserve">. </w:t>
      </w:r>
    </w:p>
    <w:p w:rsidR="00030BB0" w:rsidRPr="00866277" w:rsidRDefault="00030BB0" w:rsidP="00750F5A">
      <w:pPr>
        <w:ind w:firstLine="720"/>
        <w:jc w:val="both"/>
        <w:rPr>
          <w:lang w:val="ro-RO" w:eastAsia="ru-RU"/>
        </w:rPr>
      </w:pPr>
      <w:r w:rsidRPr="00866277">
        <w:rPr>
          <w:lang w:val="ro-RO" w:eastAsia="ru-RU"/>
        </w:rPr>
        <w:t xml:space="preserve">- în domeniul pieței de capital au fost elaborate și aprobate </w:t>
      </w:r>
      <w:r w:rsidRPr="004B2F73">
        <w:rPr>
          <w:u w:val="single"/>
          <w:lang w:val="ro-RO" w:eastAsia="ru-RU"/>
        </w:rPr>
        <w:t>8</w:t>
      </w:r>
      <w:r w:rsidRPr="00866277">
        <w:rPr>
          <w:lang w:val="ro-RO" w:eastAsia="ru-RU"/>
        </w:rPr>
        <w:t xml:space="preserve"> acte normative subordonate Legii nr.171/2012 privind piața de capital (2 acte noi și 6 acte modificate) având ca obiectiv</w:t>
      </w:r>
      <w:r w:rsidRPr="00866277">
        <w:rPr>
          <w:lang w:val="ro-RO"/>
        </w:rPr>
        <w:t xml:space="preserve"> </w:t>
      </w:r>
      <w:r w:rsidRPr="00866277">
        <w:rPr>
          <w:lang w:val="ro-RO" w:eastAsia="ru-RU"/>
        </w:rPr>
        <w:t>asigurarea cadrului normativ necesar dezvoltării pieței de capital și implementării unui mecanism adecvat de protecție a drepturilor și intereselor investitorilor și consumatorilor de servicii financiare, inclusiv privind Fondul de compensare a investitorilor.</w:t>
      </w:r>
    </w:p>
    <w:p w:rsidR="00030BB0" w:rsidRPr="00866277" w:rsidRDefault="00030BB0" w:rsidP="00750F5A">
      <w:pPr>
        <w:ind w:firstLine="720"/>
        <w:jc w:val="both"/>
        <w:rPr>
          <w:lang w:val="ro-RO" w:eastAsia="ru-RU"/>
        </w:rPr>
      </w:pPr>
      <w:r w:rsidRPr="00866277">
        <w:rPr>
          <w:lang w:val="ro-RO" w:eastAsia="ru-RU"/>
        </w:rPr>
        <w:t xml:space="preserve">În domeniul organizațiilor de creditare nebancară a fost elaborat și aprobat </w:t>
      </w:r>
      <w:r w:rsidRPr="004B2F73">
        <w:rPr>
          <w:u w:val="single"/>
          <w:lang w:val="ro-RO" w:eastAsia="ru-RU"/>
        </w:rPr>
        <w:t xml:space="preserve">Regulamentul </w:t>
      </w:r>
      <w:r w:rsidRPr="004B2F73">
        <w:rPr>
          <w:bCs/>
          <w:u w:val="single"/>
          <w:lang w:val="ro-RO" w:eastAsia="ru-RU"/>
        </w:rPr>
        <w:t>cu privire la clasificarea</w:t>
      </w:r>
      <w:r w:rsidRPr="004B2F73">
        <w:rPr>
          <w:b/>
          <w:bCs/>
          <w:u w:val="single"/>
          <w:lang w:val="ro-RO" w:eastAsia="ru-RU"/>
        </w:rPr>
        <w:t xml:space="preserve"> </w:t>
      </w:r>
      <w:r w:rsidRPr="004B2F73">
        <w:rPr>
          <w:u w:val="single"/>
          <w:lang w:val="ro-RO" w:eastAsia="ru-RU"/>
        </w:rPr>
        <w:t xml:space="preserve">activelor de către </w:t>
      </w:r>
      <w:proofErr w:type="spellStart"/>
      <w:r w:rsidRPr="004B2F73">
        <w:rPr>
          <w:u w:val="single"/>
          <w:lang w:val="ro-RO" w:eastAsia="ru-RU"/>
        </w:rPr>
        <w:t>organizaţiile</w:t>
      </w:r>
      <w:proofErr w:type="spellEnd"/>
      <w:r w:rsidRPr="004B2F73">
        <w:rPr>
          <w:u w:val="single"/>
          <w:lang w:val="ro-RO" w:eastAsia="ru-RU"/>
        </w:rPr>
        <w:t xml:space="preserve"> de creditare nebancară</w:t>
      </w:r>
      <w:r w:rsidRPr="00866277">
        <w:rPr>
          <w:lang w:val="ro-RO" w:eastAsia="ru-RU"/>
        </w:rPr>
        <w:t xml:space="preserve"> (nr.60/4/2019), subordonat Legii nr. 1/2018 cu privire la organizațiile de creditare nebancară (OCN). Prevederile Regulamentului se aplică de către OCN înregistrate în Registrul OCN autorizate la clasificarea </w:t>
      </w:r>
      <w:proofErr w:type="spellStart"/>
      <w:r w:rsidRPr="00866277">
        <w:rPr>
          <w:lang w:val="ro-RO" w:eastAsia="ru-RU"/>
        </w:rPr>
        <w:t>şi</w:t>
      </w:r>
      <w:proofErr w:type="spellEnd"/>
      <w:r w:rsidRPr="00866277">
        <w:rPr>
          <w:lang w:val="ro-RO" w:eastAsia="ru-RU"/>
        </w:rPr>
        <w:t xml:space="preserve"> calcularea mărimii </w:t>
      </w:r>
      <w:r w:rsidRPr="00866277">
        <w:rPr>
          <w:lang w:val="ro-RO" w:eastAsia="ru-RU"/>
        </w:rPr>
        <w:lastRenderedPageBreak/>
        <w:t xml:space="preserve">provizioanelor pentru acoperirea pierderilor în scop de supraveghere, precum </w:t>
      </w:r>
      <w:proofErr w:type="spellStart"/>
      <w:r w:rsidRPr="00866277">
        <w:rPr>
          <w:lang w:val="ro-RO" w:eastAsia="ru-RU"/>
        </w:rPr>
        <w:t>şi</w:t>
      </w:r>
      <w:proofErr w:type="spellEnd"/>
      <w:r w:rsidRPr="00866277">
        <w:rPr>
          <w:lang w:val="ro-RO" w:eastAsia="ru-RU"/>
        </w:rPr>
        <w:t xml:space="preserve"> pentru stabilirea volumului permis de deduceri în scopuri fiscale la activele supuse riscului de credit în temeiul contractelor aferente </w:t>
      </w:r>
      <w:proofErr w:type="spellStart"/>
      <w:r w:rsidRPr="00866277">
        <w:rPr>
          <w:lang w:val="ro-RO" w:eastAsia="ru-RU"/>
        </w:rPr>
        <w:t>şi</w:t>
      </w:r>
      <w:proofErr w:type="spellEnd"/>
      <w:r w:rsidRPr="00866277">
        <w:rPr>
          <w:lang w:val="ro-RO" w:eastAsia="ru-RU"/>
        </w:rPr>
        <w:t xml:space="preserve"> anume: credite nebancare, </w:t>
      </w:r>
      <w:proofErr w:type="spellStart"/>
      <w:r w:rsidRPr="00866277">
        <w:rPr>
          <w:lang w:val="ro-RO" w:eastAsia="ru-RU"/>
        </w:rPr>
        <w:t>creanţe</w:t>
      </w:r>
      <w:proofErr w:type="spellEnd"/>
      <w:r w:rsidRPr="00866277">
        <w:rPr>
          <w:lang w:val="ro-RO" w:eastAsia="ru-RU"/>
        </w:rPr>
        <w:t xml:space="preserve"> privind leasingul financiar, precum și dobânzi </w:t>
      </w:r>
      <w:proofErr w:type="spellStart"/>
      <w:r w:rsidRPr="00866277">
        <w:rPr>
          <w:lang w:val="ro-RO" w:eastAsia="ru-RU"/>
        </w:rPr>
        <w:t>şi</w:t>
      </w:r>
      <w:proofErr w:type="spellEnd"/>
      <w:r w:rsidRPr="00866277">
        <w:rPr>
          <w:lang w:val="ro-RO" w:eastAsia="ru-RU"/>
        </w:rPr>
        <w:t xml:space="preserve"> alte sume calculate </w:t>
      </w:r>
      <w:proofErr w:type="spellStart"/>
      <w:r w:rsidRPr="00866277">
        <w:rPr>
          <w:lang w:val="ro-RO" w:eastAsia="ru-RU"/>
        </w:rPr>
        <w:t>şi</w:t>
      </w:r>
      <w:proofErr w:type="spellEnd"/>
      <w:r w:rsidRPr="00866277">
        <w:rPr>
          <w:lang w:val="ro-RO" w:eastAsia="ru-RU"/>
        </w:rPr>
        <w:t xml:space="preserve"> reflectate în </w:t>
      </w:r>
      <w:proofErr w:type="spellStart"/>
      <w:r w:rsidRPr="00866277">
        <w:rPr>
          <w:lang w:val="ro-RO" w:eastAsia="ru-RU"/>
        </w:rPr>
        <w:t>evidenţa</w:t>
      </w:r>
      <w:proofErr w:type="spellEnd"/>
      <w:r w:rsidRPr="00866277">
        <w:rPr>
          <w:lang w:val="ro-RO" w:eastAsia="ru-RU"/>
        </w:rPr>
        <w:t xml:space="preserve"> contabilă a OCN, care urmează să fie primite.</w:t>
      </w:r>
    </w:p>
    <w:p w:rsidR="004B2F73" w:rsidRDefault="004B2F73" w:rsidP="00750F5A">
      <w:pPr>
        <w:ind w:firstLine="720"/>
        <w:jc w:val="both"/>
        <w:rPr>
          <w:lang w:val="ro-RO"/>
        </w:rPr>
      </w:pPr>
    </w:p>
    <w:p w:rsidR="001B1EA6" w:rsidRPr="00866277" w:rsidRDefault="001B1EA6" w:rsidP="00750F5A">
      <w:pPr>
        <w:ind w:firstLine="720"/>
        <w:jc w:val="both"/>
        <w:rPr>
          <w:lang w:val="ro-RO"/>
        </w:rPr>
      </w:pPr>
      <w:r w:rsidRPr="00866277">
        <w:rPr>
          <w:lang w:val="ro-RO"/>
        </w:rPr>
        <w:t>În vederea consolidării procesului de informare a furnizorilor și a consumatorilor de servicii de comunicații electronice și servicii de comunicații poștale, în anul 2019 ANRCETI a continuat să utilizeze activ pagina web oficială (</w:t>
      </w:r>
      <w:hyperlink r:id="rId9" w:history="1">
        <w:r w:rsidRPr="00866277">
          <w:rPr>
            <w:rStyle w:val="Hyperlink"/>
            <w:color w:val="auto"/>
            <w:lang w:val="ro-RO"/>
          </w:rPr>
          <w:t>http://www.anrceti.md/</w:t>
        </w:r>
      </w:hyperlink>
      <w:r w:rsidRPr="00866277">
        <w:rPr>
          <w:lang w:val="ro-RO"/>
        </w:rPr>
        <w:t>), în calitate de instrument eficient de informare și comunicare care conține informație dedicată furnizorilor, expusă pe ‟</w:t>
      </w:r>
      <w:r w:rsidRPr="00866277">
        <w:rPr>
          <w:i/>
          <w:iCs/>
          <w:lang w:val="ro-RO"/>
        </w:rPr>
        <w:t>Pagina furnizorului</w:t>
      </w:r>
      <w:r w:rsidRPr="00866277">
        <w:rPr>
          <w:lang w:val="ro-RO"/>
        </w:rPr>
        <w:t>” precum și informație dedicată utilizatorilor, expusă pe ‟</w:t>
      </w:r>
      <w:r w:rsidRPr="00866277">
        <w:rPr>
          <w:i/>
          <w:iCs/>
          <w:lang w:val="ro-RO"/>
        </w:rPr>
        <w:t>Pagina consumatorului</w:t>
      </w:r>
      <w:r w:rsidRPr="00866277">
        <w:rPr>
          <w:lang w:val="ro-RO"/>
        </w:rPr>
        <w:t>”.</w:t>
      </w:r>
    </w:p>
    <w:p w:rsidR="001B1EA6" w:rsidRPr="00866277" w:rsidRDefault="001B1EA6" w:rsidP="00750F5A">
      <w:pPr>
        <w:ind w:firstLine="720"/>
        <w:jc w:val="both"/>
        <w:rPr>
          <w:lang w:val="ro-RO"/>
        </w:rPr>
      </w:pPr>
      <w:r w:rsidRPr="00866277">
        <w:rPr>
          <w:lang w:val="ro-RO"/>
        </w:rPr>
        <w:t xml:space="preserve">Este de </w:t>
      </w:r>
      <w:proofErr w:type="spellStart"/>
      <w:r w:rsidRPr="00866277">
        <w:rPr>
          <w:lang w:val="ro-RO"/>
        </w:rPr>
        <w:t>menţionat</w:t>
      </w:r>
      <w:proofErr w:type="spellEnd"/>
      <w:r w:rsidRPr="00866277">
        <w:rPr>
          <w:lang w:val="ro-RO"/>
        </w:rPr>
        <w:t xml:space="preserve"> că o parte dintre furnizorii autorizați sunt </w:t>
      </w:r>
      <w:proofErr w:type="spellStart"/>
      <w:r w:rsidRPr="00866277">
        <w:rPr>
          <w:lang w:val="ro-RO"/>
        </w:rPr>
        <w:t>abonaţi</w:t>
      </w:r>
      <w:proofErr w:type="spellEnd"/>
      <w:r w:rsidRPr="00866277">
        <w:rPr>
          <w:lang w:val="ro-RO"/>
        </w:rPr>
        <w:t xml:space="preserve"> la </w:t>
      </w:r>
      <w:proofErr w:type="spellStart"/>
      <w:r w:rsidRPr="00866277">
        <w:rPr>
          <w:lang w:val="ro-RO"/>
        </w:rPr>
        <w:t>noutăţile</w:t>
      </w:r>
      <w:proofErr w:type="spellEnd"/>
      <w:r w:rsidRPr="00866277">
        <w:rPr>
          <w:lang w:val="ro-RO"/>
        </w:rPr>
        <w:t xml:space="preserve"> ANRCETI, distribuite automat și operativ la adresele electronice ale acestora, care cuprind inclusiv și noutățile referitoare la </w:t>
      </w:r>
      <w:proofErr w:type="spellStart"/>
      <w:r w:rsidRPr="00866277">
        <w:rPr>
          <w:lang w:val="ro-RO"/>
        </w:rPr>
        <w:t>legislaţia</w:t>
      </w:r>
      <w:proofErr w:type="spellEnd"/>
      <w:r w:rsidRPr="00866277">
        <w:rPr>
          <w:lang w:val="ro-RO"/>
        </w:rPr>
        <w:t xml:space="preserve"> nou-adoptată din domeniile de competență.</w:t>
      </w:r>
    </w:p>
    <w:p w:rsidR="001B1EA6" w:rsidRPr="00866277" w:rsidRDefault="001B1EA6" w:rsidP="00750F5A">
      <w:pPr>
        <w:ind w:firstLine="720"/>
        <w:jc w:val="both"/>
        <w:rPr>
          <w:lang w:val="ro-RO"/>
        </w:rPr>
      </w:pPr>
      <w:r w:rsidRPr="00866277">
        <w:rPr>
          <w:lang w:val="ro-RO"/>
        </w:rPr>
        <w:t xml:space="preserve">În perioada de referință ANRCETI a oferit posibilitatea </w:t>
      </w:r>
      <w:proofErr w:type="spellStart"/>
      <w:r w:rsidRPr="00866277">
        <w:rPr>
          <w:lang w:val="ro-RO"/>
        </w:rPr>
        <w:t>cetăţenilor</w:t>
      </w:r>
      <w:proofErr w:type="spellEnd"/>
      <w:r w:rsidRPr="00866277">
        <w:rPr>
          <w:lang w:val="ro-RO"/>
        </w:rPr>
        <w:t xml:space="preserve"> </w:t>
      </w:r>
      <w:proofErr w:type="spellStart"/>
      <w:r w:rsidRPr="00866277">
        <w:rPr>
          <w:lang w:val="ro-RO"/>
        </w:rPr>
        <w:t>şi</w:t>
      </w:r>
      <w:proofErr w:type="spellEnd"/>
      <w:r w:rsidRPr="00866277">
        <w:rPr>
          <w:lang w:val="ro-RO"/>
        </w:rPr>
        <w:t xml:space="preserve"> altor </w:t>
      </w:r>
      <w:proofErr w:type="spellStart"/>
      <w:r w:rsidRPr="00866277">
        <w:rPr>
          <w:lang w:val="ro-RO"/>
        </w:rPr>
        <w:t>părţi</w:t>
      </w:r>
      <w:proofErr w:type="spellEnd"/>
      <w:r w:rsidRPr="00866277">
        <w:rPr>
          <w:lang w:val="ro-RO"/>
        </w:rPr>
        <w:t xml:space="preserve"> interesate să participe în procesul de elaborare a proiectelor de acte normative de reglementare cu impact economic și a publicat pe pagina web oficială a ANRCETI proiectele de decizii </w:t>
      </w:r>
      <w:proofErr w:type="spellStart"/>
      <w:r w:rsidRPr="00866277">
        <w:rPr>
          <w:lang w:val="ro-RO"/>
        </w:rPr>
        <w:t>şi</w:t>
      </w:r>
      <w:proofErr w:type="spellEnd"/>
      <w:r w:rsidRPr="00866277">
        <w:rPr>
          <w:lang w:val="ro-RO"/>
        </w:rPr>
        <w:t xml:space="preserve"> materialele aferente acestora în vederea furnizării, după caz, a propunerilor </w:t>
      </w:r>
      <w:proofErr w:type="spellStart"/>
      <w:r w:rsidRPr="00866277">
        <w:rPr>
          <w:lang w:val="ro-RO"/>
        </w:rPr>
        <w:t>şi</w:t>
      </w:r>
      <w:proofErr w:type="spellEnd"/>
      <w:r w:rsidRPr="00866277">
        <w:rPr>
          <w:lang w:val="ro-RO"/>
        </w:rPr>
        <w:t xml:space="preserve"> recomandărilor asupra proiectelor. </w:t>
      </w:r>
    </w:p>
    <w:p w:rsidR="001B1EA6" w:rsidRPr="00866277" w:rsidRDefault="001B1EA6" w:rsidP="00750F5A">
      <w:pPr>
        <w:ind w:firstLine="720"/>
        <w:jc w:val="both"/>
        <w:rPr>
          <w:lang w:val="ro-RO"/>
        </w:rPr>
      </w:pPr>
      <w:r w:rsidRPr="00866277">
        <w:rPr>
          <w:lang w:val="ro-RO"/>
        </w:rPr>
        <w:t xml:space="preserve">Pe parcursul perioadei de raportare, ANRCETI a continuat să opereze linia telefonică </w:t>
      </w:r>
      <w:proofErr w:type="spellStart"/>
      <w:r w:rsidRPr="00866277">
        <w:rPr>
          <w:lang w:val="ro-RO"/>
        </w:rPr>
        <w:t>instituţională</w:t>
      </w:r>
      <w:proofErr w:type="spellEnd"/>
      <w:r w:rsidRPr="00866277">
        <w:rPr>
          <w:lang w:val="ro-RO"/>
        </w:rPr>
        <w:t xml:space="preserve"> pentru informare din cadrul ANRCETI (numărul de telefon </w:t>
      </w:r>
      <w:r w:rsidRPr="00866277">
        <w:rPr>
          <w:i/>
          <w:iCs/>
          <w:lang w:val="ro-RO"/>
        </w:rPr>
        <w:t>080080080</w:t>
      </w:r>
      <w:r w:rsidRPr="00866277">
        <w:rPr>
          <w:lang w:val="ro-RO"/>
        </w:rPr>
        <w:t xml:space="preserve"> cu acces gratuit pentru apelant) prin intermediul căreia, </w:t>
      </w:r>
      <w:proofErr w:type="spellStart"/>
      <w:r w:rsidRPr="00866277">
        <w:rPr>
          <w:lang w:val="ro-RO"/>
        </w:rPr>
        <w:t>specialiştii</w:t>
      </w:r>
      <w:proofErr w:type="spellEnd"/>
      <w:r w:rsidRPr="00866277">
        <w:rPr>
          <w:lang w:val="ro-RO"/>
        </w:rPr>
        <w:t xml:space="preserve"> ANRCETI, au oferit răspunsuri la întrebările </w:t>
      </w:r>
      <w:proofErr w:type="spellStart"/>
      <w:r w:rsidRPr="00866277">
        <w:rPr>
          <w:lang w:val="ro-RO"/>
        </w:rPr>
        <w:t>solicitanţilor</w:t>
      </w:r>
      <w:proofErr w:type="spellEnd"/>
      <w:r w:rsidRPr="00866277">
        <w:rPr>
          <w:lang w:val="ro-RO"/>
        </w:rPr>
        <w:t xml:space="preserve">, recomandări pentru </w:t>
      </w:r>
      <w:proofErr w:type="spellStart"/>
      <w:r w:rsidRPr="00866277">
        <w:rPr>
          <w:lang w:val="ro-RO"/>
        </w:rPr>
        <w:t>soluţionarea</w:t>
      </w:r>
      <w:proofErr w:type="spellEnd"/>
      <w:r w:rsidRPr="00866277">
        <w:rPr>
          <w:lang w:val="ro-RO"/>
        </w:rPr>
        <w:t xml:space="preserve"> problemelor semnalate, </w:t>
      </w:r>
      <w:proofErr w:type="spellStart"/>
      <w:r w:rsidRPr="00866277">
        <w:rPr>
          <w:lang w:val="ro-RO"/>
        </w:rPr>
        <w:t>informaţii</w:t>
      </w:r>
      <w:proofErr w:type="spellEnd"/>
      <w:r w:rsidRPr="00866277">
        <w:rPr>
          <w:lang w:val="ro-RO"/>
        </w:rPr>
        <w:t xml:space="preserve"> despre drepturile acestora, despre </w:t>
      </w:r>
      <w:proofErr w:type="spellStart"/>
      <w:r w:rsidRPr="00866277">
        <w:rPr>
          <w:lang w:val="ro-RO"/>
        </w:rPr>
        <w:t>obligaţiile</w:t>
      </w:r>
      <w:proofErr w:type="spellEnd"/>
      <w:r w:rsidRPr="00866277">
        <w:rPr>
          <w:lang w:val="ro-RO"/>
        </w:rPr>
        <w:t xml:space="preserve"> furnizorilor de servicii </w:t>
      </w:r>
      <w:proofErr w:type="spellStart"/>
      <w:r w:rsidRPr="00866277">
        <w:rPr>
          <w:lang w:val="ro-RO"/>
        </w:rPr>
        <w:t>faţă</w:t>
      </w:r>
      <w:proofErr w:type="spellEnd"/>
      <w:r w:rsidRPr="00866277">
        <w:rPr>
          <w:lang w:val="ro-RO"/>
        </w:rPr>
        <w:t xml:space="preserve"> de consumatori etc.</w:t>
      </w:r>
    </w:p>
    <w:p w:rsidR="00750F5A" w:rsidRPr="00866277" w:rsidRDefault="00750F5A" w:rsidP="00750F5A">
      <w:pPr>
        <w:ind w:firstLine="720"/>
        <w:jc w:val="both"/>
        <w:rPr>
          <w:lang w:val="ro-RO"/>
        </w:rPr>
      </w:pPr>
      <w:r w:rsidRPr="00866277">
        <w:rPr>
          <w:lang w:val="ro-RO"/>
        </w:rPr>
        <w:t>ANRE a acordat consultanță unui număr de 21 de agenți economici  cu referire la legislația nou adoptată, în mod special operatorii care activează în sectorul energetic și care prestează serviciul public de alimentare cu apă și de canalizare. De asemenea, a înregistrat un număr de 31 acte normative de reglementare adoptate.</w:t>
      </w:r>
    </w:p>
    <w:p w:rsidR="000B3A47" w:rsidRPr="00866277" w:rsidRDefault="000B3A47" w:rsidP="000B3A47">
      <w:pPr>
        <w:ind w:firstLine="432"/>
        <w:jc w:val="both"/>
        <w:rPr>
          <w:lang w:val="ro-RO"/>
        </w:rPr>
      </w:pPr>
      <w:r w:rsidRPr="00866277">
        <w:rPr>
          <w:lang w:val="ro-RO"/>
        </w:rPr>
        <w:t>ANTA a participat la elaborarea a 2 acte normative în domeniile de competență.</w:t>
      </w:r>
    </w:p>
    <w:p w:rsidR="000B3A47" w:rsidRPr="00866277" w:rsidRDefault="000B3A47" w:rsidP="00750F5A">
      <w:pPr>
        <w:ind w:firstLine="720"/>
        <w:jc w:val="both"/>
        <w:rPr>
          <w:lang w:val="ro-RO"/>
        </w:rPr>
      </w:pPr>
    </w:p>
    <w:p w:rsidR="00174C1F" w:rsidRPr="004B2F73" w:rsidRDefault="004B2F73" w:rsidP="004B2F73">
      <w:pPr>
        <w:ind w:right="90" w:firstLine="720"/>
        <w:jc w:val="both"/>
        <w:rPr>
          <w:lang w:val="ro-RO"/>
        </w:rPr>
      </w:pPr>
      <w:r w:rsidRPr="00866277">
        <w:rPr>
          <w:lang w:val="ro-RO"/>
        </w:rPr>
        <w:t>Î</w:t>
      </w:r>
      <w:r w:rsidR="00E2154C" w:rsidRPr="00866277">
        <w:rPr>
          <w:lang w:val="ro-RO"/>
        </w:rPr>
        <w:t>n</w:t>
      </w:r>
      <w:r>
        <w:rPr>
          <w:lang w:val="ro-RO"/>
        </w:rPr>
        <w:t xml:space="preserve"> </w:t>
      </w:r>
      <w:r w:rsidR="00E2154C" w:rsidRPr="00866277">
        <w:rPr>
          <w:lang w:val="ro-RO"/>
        </w:rPr>
        <w:t>scopul a</w:t>
      </w:r>
      <w:r w:rsidR="00E2154C" w:rsidRPr="00866277">
        <w:rPr>
          <w:rFonts w:eastAsia="Times New Roman"/>
          <w:lang w:val="ro-RO"/>
        </w:rPr>
        <w:t>cordării consultațiilor referit la contracte încheiate cu consumatorii</w:t>
      </w:r>
      <w:r w:rsidR="00E2154C" w:rsidRPr="00866277">
        <w:rPr>
          <w:lang w:val="ro-RO"/>
        </w:rPr>
        <w:t xml:space="preserve"> (</w:t>
      </w:r>
      <w:r w:rsidR="00E2154C" w:rsidRPr="00866277">
        <w:rPr>
          <w:b/>
          <w:lang w:val="ro-RO"/>
        </w:rPr>
        <w:t>pct. 2.2.2</w:t>
      </w:r>
      <w:r w:rsidR="00E2154C" w:rsidRPr="00866277">
        <w:rPr>
          <w:lang w:val="ro-RO"/>
        </w:rPr>
        <w:t>)</w:t>
      </w:r>
      <w:r w:rsidR="00D13717" w:rsidRPr="00866277">
        <w:rPr>
          <w:lang w:val="ro-RO"/>
        </w:rPr>
        <w:t xml:space="preserve"> </w:t>
      </w:r>
      <w:r w:rsidR="00174C1F" w:rsidRPr="00866277">
        <w:rPr>
          <w:lang w:val="ro-RO"/>
        </w:rPr>
        <w:t>și urmare a petițiilor înre</w:t>
      </w:r>
      <w:r>
        <w:rPr>
          <w:lang w:val="ro-RO"/>
        </w:rPr>
        <w:t>g</w:t>
      </w:r>
      <w:r w:rsidR="00174C1F" w:rsidRPr="00866277">
        <w:rPr>
          <w:lang w:val="ro-RO"/>
        </w:rPr>
        <w:t>istrate</w:t>
      </w:r>
      <w:r>
        <w:rPr>
          <w:lang w:val="ro-RO"/>
        </w:rPr>
        <w:t>, s</w:t>
      </w:r>
      <w:r w:rsidRPr="00866277">
        <w:rPr>
          <w:lang w:val="ro-RO"/>
        </w:rPr>
        <w:t>pecialiștii APCSP</w:t>
      </w:r>
      <w:r w:rsidR="00174C1F" w:rsidRPr="00866277">
        <w:rPr>
          <w:lang w:val="ro-RO"/>
        </w:rPr>
        <w:t xml:space="preserve"> </w:t>
      </w:r>
      <w:r w:rsidR="00D13717" w:rsidRPr="00866277">
        <w:rPr>
          <w:lang w:val="ro-RO"/>
        </w:rPr>
        <w:t xml:space="preserve">au examinat </w:t>
      </w:r>
      <w:r w:rsidR="00174C1F" w:rsidRPr="00866277">
        <w:rPr>
          <w:lang w:val="ro-RO"/>
        </w:rPr>
        <w:t>91 contracte sub aspectul prezenței clauzelor abuzive. Părțile contractante au fost consultate în cele 91 situații de caz, inclusiv in cazul contractelor de creditare nebancară, de investiții în construcții, de prestare a serviciilor de fabricare la comandă a produselor/serviciilor de reparații. S-au constatat neconformități în 41 contracte, întocmite 41 acte de constatare a clauzelor abuzive</w:t>
      </w:r>
      <w:r w:rsidR="00174C1F" w:rsidRPr="00866277">
        <w:rPr>
          <w:b/>
          <w:lang w:val="ro-RO"/>
        </w:rPr>
        <w:t>.</w:t>
      </w:r>
    </w:p>
    <w:p w:rsidR="00251C37" w:rsidRPr="00866277" w:rsidRDefault="00740FB2" w:rsidP="00AC3FEF">
      <w:pPr>
        <w:ind w:firstLine="720"/>
        <w:jc w:val="both"/>
        <w:rPr>
          <w:lang w:val="ro-RO" w:eastAsia="ru-RU"/>
        </w:rPr>
      </w:pPr>
      <w:r w:rsidRPr="00866277">
        <w:rPr>
          <w:lang w:val="ro-RO" w:eastAsia="ru-RU"/>
        </w:rPr>
        <w:t xml:space="preserve">De asemenea, în scopul asigurării respectării legislației </w:t>
      </w:r>
      <w:r w:rsidRPr="00866277">
        <w:rPr>
          <w:bCs/>
          <w:lang w:val="ro-RO" w:eastAsia="ru-RU"/>
        </w:rPr>
        <w:t xml:space="preserve">precontractuale, contractuale </w:t>
      </w:r>
      <w:proofErr w:type="spellStart"/>
      <w:r w:rsidRPr="00866277">
        <w:rPr>
          <w:bCs/>
          <w:lang w:val="ro-RO" w:eastAsia="ru-RU"/>
        </w:rPr>
        <w:t>şi</w:t>
      </w:r>
      <w:proofErr w:type="spellEnd"/>
      <w:r w:rsidRPr="00866277">
        <w:rPr>
          <w:bCs/>
          <w:lang w:val="ro-RO" w:eastAsia="ru-RU"/>
        </w:rPr>
        <w:t xml:space="preserve"> </w:t>
      </w:r>
      <w:proofErr w:type="spellStart"/>
      <w:r w:rsidRPr="00866277">
        <w:rPr>
          <w:bCs/>
          <w:lang w:val="ro-RO" w:eastAsia="ru-RU"/>
        </w:rPr>
        <w:t>postcontractuale</w:t>
      </w:r>
      <w:proofErr w:type="spellEnd"/>
      <w:r w:rsidRPr="00866277">
        <w:rPr>
          <w:lang w:val="ro-RO" w:eastAsia="ru-RU"/>
        </w:rPr>
        <w:t>, în perioada de raportare, CNPF a realizat controale/inspecții privind respectarea legislației de către prestatorii de servicii financiare nebancare în vederea identificării încălcărilor aferente protecției c</w:t>
      </w:r>
      <w:r w:rsidRPr="004B2F73">
        <w:rPr>
          <w:lang w:val="ro-RO" w:eastAsia="ru-RU"/>
        </w:rPr>
        <w:t>onsumatorului (</w:t>
      </w:r>
      <w:r w:rsidRPr="004B2F73">
        <w:rPr>
          <w:b/>
          <w:lang w:val="ro-RO" w:eastAsia="ru-RU"/>
        </w:rPr>
        <w:t>pct. 2.2.3</w:t>
      </w:r>
      <w:r w:rsidRPr="004B2F73">
        <w:rPr>
          <w:lang w:val="ro-RO" w:eastAsia="ru-RU"/>
        </w:rPr>
        <w:t>).</w:t>
      </w:r>
      <w:r w:rsidRPr="004B2F73">
        <w:rPr>
          <w:lang w:val="ro-RO"/>
        </w:rPr>
        <w:t xml:space="preserve"> </w:t>
      </w:r>
      <w:r w:rsidR="00AC3FEF" w:rsidRPr="004B2F73">
        <w:rPr>
          <w:lang w:val="ro-RO" w:eastAsia="ru-RU"/>
        </w:rPr>
        <w:t>Astfel, a</w:t>
      </w:r>
      <w:r w:rsidR="00251C37" w:rsidRPr="004B2F73">
        <w:rPr>
          <w:lang w:val="ro-RO" w:eastAsia="ru-RU"/>
        </w:rPr>
        <w:t xml:space="preserve"> fost efectuate </w:t>
      </w:r>
      <w:r w:rsidR="00251C37" w:rsidRPr="004B2F73">
        <w:rPr>
          <w:u w:val="single"/>
          <w:lang w:val="ro-RO" w:eastAsia="ru-RU"/>
        </w:rPr>
        <w:t>34 controale</w:t>
      </w:r>
      <w:r w:rsidR="00251C37" w:rsidRPr="004B2F73">
        <w:rPr>
          <w:lang w:val="ro-RO" w:eastAsia="ru-RU"/>
        </w:rPr>
        <w:t>, inclusiv:</w:t>
      </w:r>
      <w:r w:rsidR="00251C37" w:rsidRPr="00866277">
        <w:rPr>
          <w:lang w:val="ro-RO" w:eastAsia="ru-RU"/>
        </w:rPr>
        <w:t xml:space="preserve">  </w:t>
      </w:r>
      <w:r w:rsidR="00251C37" w:rsidRPr="004B2F73">
        <w:rPr>
          <w:u w:val="single"/>
          <w:lang w:val="ro-RO" w:eastAsia="ru-RU"/>
        </w:rPr>
        <w:t>14 controale complexe</w:t>
      </w:r>
      <w:r w:rsidR="00251C37" w:rsidRPr="00866277">
        <w:rPr>
          <w:b/>
          <w:lang w:val="ro-RO" w:eastAsia="ru-RU"/>
        </w:rPr>
        <w:t xml:space="preserve"> (</w:t>
      </w:r>
      <w:r w:rsidR="00251C37" w:rsidRPr="00866277">
        <w:rPr>
          <w:lang w:val="ro-RO" w:eastAsia="ru-RU"/>
        </w:rPr>
        <w:t>12</w:t>
      </w:r>
      <w:r w:rsidR="00251C37" w:rsidRPr="00866277">
        <w:rPr>
          <w:b/>
          <w:lang w:val="ro-RO" w:eastAsia="ru-RU"/>
        </w:rPr>
        <w:t xml:space="preserve"> - </w:t>
      </w:r>
      <w:r w:rsidR="00251C37" w:rsidRPr="00866277">
        <w:rPr>
          <w:lang w:val="ro-RO" w:eastAsia="ru-RU"/>
        </w:rPr>
        <w:t xml:space="preserve">în domeniul AEÎ și 2 – în domeniul pieței de capital);  </w:t>
      </w:r>
      <w:r w:rsidR="00251C37" w:rsidRPr="004B2F73">
        <w:rPr>
          <w:u w:val="single"/>
          <w:lang w:val="ro-RO" w:eastAsia="ru-RU"/>
        </w:rPr>
        <w:t>11 controale tematice</w:t>
      </w:r>
      <w:r w:rsidR="00251C37" w:rsidRPr="00866277">
        <w:rPr>
          <w:lang w:val="ro-RO" w:eastAsia="ru-RU"/>
        </w:rPr>
        <w:t xml:space="preserve"> (8 - în domeniul asigurărilor, 2 – în domeniul OCN, 1 – în domeniul AEÎ); </w:t>
      </w:r>
      <w:r w:rsidR="00251C37" w:rsidRPr="004B2F73">
        <w:rPr>
          <w:u w:val="single"/>
          <w:lang w:val="ro-RO" w:eastAsia="ru-RU"/>
        </w:rPr>
        <w:t>7 inspecții în teren, 1</w:t>
      </w:r>
      <w:r w:rsidR="00251C37" w:rsidRPr="00866277">
        <w:rPr>
          <w:b/>
          <w:lang w:val="ro-RO" w:eastAsia="ru-RU"/>
        </w:rPr>
        <w:t xml:space="preserve"> </w:t>
      </w:r>
      <w:r w:rsidR="00251C37" w:rsidRPr="00866277">
        <w:rPr>
          <w:lang w:val="ro-RO" w:eastAsia="ru-RU"/>
        </w:rPr>
        <w:t xml:space="preserve">analiză din oficiu și </w:t>
      </w:r>
      <w:r w:rsidR="00251C37" w:rsidRPr="004B2F73">
        <w:rPr>
          <w:u w:val="single"/>
          <w:lang w:val="ro-RO" w:eastAsia="ru-RU"/>
        </w:rPr>
        <w:t>1</w:t>
      </w:r>
      <w:r w:rsidR="00251C37" w:rsidRPr="00866277">
        <w:rPr>
          <w:lang w:val="ro-RO" w:eastAsia="ru-RU"/>
        </w:rPr>
        <w:t xml:space="preserve"> analiză – control în domeniul asigurărilor.</w:t>
      </w:r>
    </w:p>
    <w:p w:rsidR="00251C37" w:rsidRPr="00866277" w:rsidRDefault="00251C37" w:rsidP="00AC3FEF">
      <w:pPr>
        <w:ind w:firstLine="720"/>
        <w:jc w:val="both"/>
        <w:rPr>
          <w:bCs/>
          <w:lang w:val="ro-RO" w:eastAsia="ru-RU"/>
        </w:rPr>
      </w:pPr>
      <w:r w:rsidRPr="00866277">
        <w:rPr>
          <w:bCs/>
          <w:lang w:val="ro-RO" w:eastAsia="ru-RU"/>
        </w:rPr>
        <w:t xml:space="preserve">În domeniul pieței de capital au fost verificate </w:t>
      </w:r>
      <w:r w:rsidRPr="004B2F73">
        <w:rPr>
          <w:bCs/>
          <w:u w:val="single"/>
          <w:lang w:val="ro-RO" w:eastAsia="ru-RU"/>
        </w:rPr>
        <w:t>444 tranzacții</w:t>
      </w:r>
      <w:r w:rsidRPr="00866277">
        <w:rPr>
          <w:bCs/>
          <w:lang w:val="ro-RO" w:eastAsia="ru-RU"/>
        </w:rPr>
        <w:t xml:space="preserve"> cu valori mobiliare, inclusiv: 297 tranzacții pe piața reglementată și MTF și 147 tranzacții în afara pieței reglementate și MTF.</w:t>
      </w:r>
    </w:p>
    <w:p w:rsidR="00251C37" w:rsidRPr="00866277" w:rsidRDefault="00251C37" w:rsidP="00AC3FEF">
      <w:pPr>
        <w:ind w:firstLine="720"/>
        <w:jc w:val="both"/>
        <w:rPr>
          <w:lang w:val="ro-RO" w:eastAsia="ru-RU"/>
        </w:rPr>
      </w:pPr>
      <w:r w:rsidRPr="00866277">
        <w:rPr>
          <w:lang w:val="ro-RO" w:eastAsia="ru-RU"/>
        </w:rPr>
        <w:t>În procesul de asigurare a protecției drepturilor consumatorilor</w:t>
      </w:r>
      <w:r w:rsidR="00AC3FEF" w:rsidRPr="00866277">
        <w:rPr>
          <w:lang w:val="ro-RO" w:eastAsia="ru-RU"/>
        </w:rPr>
        <w:t xml:space="preserve"> </w:t>
      </w:r>
      <w:r w:rsidRPr="00866277">
        <w:rPr>
          <w:lang w:val="ro-RO" w:eastAsia="ru-RU"/>
        </w:rPr>
        <w:t xml:space="preserve">de servicii financiare a fost verificată respectarea prevederilor Regulamentului cu privire la modalitatea de examinare a petițiilor de către participanții profesioniști la piața financiară nebancară, aprobat prin Hotărârea CNPF nr. 38/14 din 28.09.2012, care stabilește modalitatea de prezentare, înregistrare și examinare a petițiilor parvenite din partea persoanelor fizice </w:t>
      </w:r>
      <w:proofErr w:type="spellStart"/>
      <w:r w:rsidRPr="00866277">
        <w:rPr>
          <w:lang w:val="ro-RO" w:eastAsia="ru-RU"/>
        </w:rPr>
        <w:t>şi</w:t>
      </w:r>
      <w:proofErr w:type="spellEnd"/>
      <w:r w:rsidRPr="00866277">
        <w:rPr>
          <w:lang w:val="ro-RO" w:eastAsia="ru-RU"/>
        </w:rPr>
        <w:t xml:space="preserve">/sau juridice în adresa participanților profesioniști la </w:t>
      </w:r>
      <w:proofErr w:type="spellStart"/>
      <w:r w:rsidRPr="00866277">
        <w:rPr>
          <w:lang w:val="ro-RO" w:eastAsia="ru-RU"/>
        </w:rPr>
        <w:t>piaţa</w:t>
      </w:r>
      <w:proofErr w:type="spellEnd"/>
      <w:r w:rsidRPr="00866277">
        <w:rPr>
          <w:lang w:val="ro-RO" w:eastAsia="ru-RU"/>
        </w:rPr>
        <w:t xml:space="preserve"> financiară nebancară, inclusiv prezentarea consumatorului a informației privind rezultatele examinării petiției. </w:t>
      </w:r>
    </w:p>
    <w:p w:rsidR="000B3A47" w:rsidRPr="00866277" w:rsidRDefault="000B3A47" w:rsidP="00251C37">
      <w:pPr>
        <w:ind w:firstLine="720"/>
        <w:jc w:val="both"/>
        <w:rPr>
          <w:rFonts w:eastAsia="Times New Roman"/>
          <w:lang w:val="ro-RO"/>
        </w:rPr>
      </w:pPr>
    </w:p>
    <w:p w:rsidR="00524D15" w:rsidRPr="00866277" w:rsidRDefault="00407521" w:rsidP="0066693E">
      <w:pPr>
        <w:ind w:firstLine="720"/>
        <w:jc w:val="both"/>
        <w:rPr>
          <w:lang w:val="ro-RO"/>
        </w:rPr>
      </w:pPr>
      <w:r w:rsidRPr="00866277">
        <w:rPr>
          <w:rFonts w:eastAsia="Times New Roman"/>
          <w:lang w:val="ro-RO"/>
        </w:rPr>
        <w:t xml:space="preserve">Cu referire la asigurarea respectării legislației cu privire la prestarea serviciilor de plată </w:t>
      </w:r>
      <w:proofErr w:type="spellStart"/>
      <w:r w:rsidRPr="00866277">
        <w:rPr>
          <w:rFonts w:eastAsia="Times New Roman"/>
          <w:lang w:val="ro-RO"/>
        </w:rPr>
        <w:t>şi</w:t>
      </w:r>
      <w:proofErr w:type="spellEnd"/>
      <w:r w:rsidRPr="00866277">
        <w:rPr>
          <w:rFonts w:eastAsia="Times New Roman"/>
          <w:lang w:val="ro-RO"/>
        </w:rPr>
        <w:t xml:space="preserve"> emiterea de monedă electronică (</w:t>
      </w:r>
      <w:r w:rsidRPr="00866277">
        <w:rPr>
          <w:rFonts w:eastAsia="Times New Roman"/>
          <w:b/>
          <w:lang w:val="ro-RO"/>
        </w:rPr>
        <w:t xml:space="preserve">pct. </w:t>
      </w:r>
      <w:r w:rsidRPr="00866277">
        <w:rPr>
          <w:rFonts w:eastAsia="Times New Roman"/>
          <w:b/>
          <w:bCs/>
          <w:lang w:val="ro-RO"/>
        </w:rPr>
        <w:t>2.2.4</w:t>
      </w:r>
      <w:r w:rsidRPr="00866277">
        <w:rPr>
          <w:rFonts w:eastAsia="Times New Roman"/>
          <w:bCs/>
          <w:lang w:val="ro-RO"/>
        </w:rPr>
        <w:t>) p</w:t>
      </w:r>
      <w:r w:rsidRPr="00866277">
        <w:rPr>
          <w:rFonts w:eastAsia="Times New Roman"/>
          <w:lang w:val="ro-RO"/>
        </w:rPr>
        <w:t xml:space="preserve">e parcursul anului </w:t>
      </w:r>
      <w:r w:rsidRPr="00866277">
        <w:rPr>
          <w:lang w:val="ro-RO"/>
        </w:rPr>
        <w:t>201</w:t>
      </w:r>
      <w:r w:rsidR="00524D15" w:rsidRPr="00866277">
        <w:rPr>
          <w:lang w:val="ro-RO"/>
        </w:rPr>
        <w:t xml:space="preserve">9, Banca Națională a Moldovei (BNM) a depistat încălcări ale prevederilor </w:t>
      </w:r>
      <w:r w:rsidR="00524D15" w:rsidRPr="00866277">
        <w:rPr>
          <w:i/>
          <w:lang w:val="ro-RO"/>
        </w:rPr>
        <w:t xml:space="preserve">Legii nr.114 din 18.05.2015 cu privire la serviciile de plată </w:t>
      </w:r>
      <w:r w:rsidR="00524D15" w:rsidRPr="00866277">
        <w:rPr>
          <w:i/>
          <w:lang w:val="ro-RO"/>
        </w:rPr>
        <w:lastRenderedPageBreak/>
        <w:t>și monedă electronică,</w:t>
      </w:r>
      <w:r w:rsidR="00524D15" w:rsidRPr="00866277">
        <w:rPr>
          <w:lang w:val="ro-RO"/>
        </w:rPr>
        <w:t xml:space="preserve"> ce țin de protecția consumatorilor, în cadrul controalelor efectuate la o bancă licențiată și la 2 prestatori de servicii de plată nebancari. O parte din încălcările depistate au fost înlăturate în cadrul sau după control, adică - până la emiterea Hotărârilor Comitetului executiv al BNM.</w:t>
      </w:r>
      <w:r w:rsidR="00524D15" w:rsidRPr="00866277">
        <w:rPr>
          <w:i/>
          <w:lang w:val="ro-RO"/>
        </w:rPr>
        <w:t xml:space="preserve"> </w:t>
      </w:r>
      <w:r w:rsidR="00524D15" w:rsidRPr="00866277">
        <w:rPr>
          <w:lang w:val="ro-RO"/>
        </w:rPr>
        <w:t xml:space="preserve"> </w:t>
      </w:r>
    </w:p>
    <w:p w:rsidR="00524D15" w:rsidRPr="00866277" w:rsidRDefault="00524D15" w:rsidP="0066693E">
      <w:pPr>
        <w:ind w:firstLine="720"/>
        <w:jc w:val="both"/>
        <w:rPr>
          <w:lang w:val="ro-RO"/>
        </w:rPr>
      </w:pPr>
      <w:r w:rsidRPr="00866277">
        <w:rPr>
          <w:lang w:val="ro-RO"/>
        </w:rPr>
        <w:t xml:space="preserve">În conformitate cu art. 408 alin. (1) din </w:t>
      </w:r>
      <w:r w:rsidRPr="00866277">
        <w:rPr>
          <w:i/>
          <w:lang w:val="ro-RO"/>
        </w:rPr>
        <w:t>Codul contravențional</w:t>
      </w:r>
      <w:r w:rsidRPr="00866277">
        <w:rPr>
          <w:lang w:val="ro-RO"/>
        </w:rPr>
        <w:t xml:space="preserve"> </w:t>
      </w:r>
      <w:r w:rsidRPr="00866277">
        <w:rPr>
          <w:bCs/>
          <w:i/>
          <w:lang w:val="ro-RO"/>
        </w:rPr>
        <w:t>al RM nr. 218 din 24.10.2008</w:t>
      </w:r>
      <w:r w:rsidRPr="00866277">
        <w:rPr>
          <w:lang w:val="ro-RO"/>
        </w:rPr>
        <w:t>, contravențiile specificate la art.293</w:t>
      </w:r>
      <w:r w:rsidRPr="00866277">
        <w:rPr>
          <w:vertAlign w:val="superscript"/>
          <w:lang w:val="ro-RO"/>
        </w:rPr>
        <w:t xml:space="preserve">2 </w:t>
      </w:r>
      <w:r w:rsidRPr="00866277">
        <w:rPr>
          <w:lang w:val="ro-RO"/>
        </w:rPr>
        <w:t xml:space="preserve">alin. (4), (5) a </w:t>
      </w:r>
      <w:r w:rsidRPr="00866277">
        <w:rPr>
          <w:i/>
          <w:lang w:val="ro-RO"/>
        </w:rPr>
        <w:t xml:space="preserve">codului menționat </w:t>
      </w:r>
      <w:r w:rsidRPr="00866277">
        <w:rPr>
          <w:lang w:val="ro-RO"/>
        </w:rPr>
        <w:t>(unele articole din Legea nr. 114 ce țin de protecția consumatorilor) se constată, se examinează și sancționează de către Agenția pentru Protecției Consumatorului și Supravegherea Pieței (APCSP).</w:t>
      </w:r>
    </w:p>
    <w:p w:rsidR="00524D15" w:rsidRPr="00866277" w:rsidRDefault="00524D15" w:rsidP="0066693E">
      <w:pPr>
        <w:ind w:firstLine="720"/>
        <w:jc w:val="both"/>
        <w:rPr>
          <w:lang w:val="ro-RO"/>
        </w:rPr>
      </w:pPr>
      <w:r w:rsidRPr="00866277">
        <w:rPr>
          <w:lang w:val="ro-RO"/>
        </w:rPr>
        <w:t>BNM, pe parcursul anului 2019, a informat APCSP prin scrisoarea nr. 26-01109/35/123 din 14.01.2019, privind încălcările depistate în cadrul controlului pe teren la o bancă licențiată (control efectuat în semestrul II 2018).</w:t>
      </w:r>
    </w:p>
    <w:p w:rsidR="00524D15" w:rsidRPr="00866277" w:rsidRDefault="00524D15" w:rsidP="0066693E">
      <w:pPr>
        <w:ind w:firstLine="720"/>
        <w:jc w:val="both"/>
        <w:rPr>
          <w:lang w:val="ro-RO"/>
        </w:rPr>
      </w:pPr>
      <w:r w:rsidRPr="00866277">
        <w:rPr>
          <w:lang w:val="ro-RO"/>
        </w:rPr>
        <w:t>APCSP a recepționat și a examinat sesizarea Băncii Naționale a Moldovei (BNM), referitor la încălcările stabilite în rezultatul controlului la BC „</w:t>
      </w:r>
      <w:proofErr w:type="spellStart"/>
      <w:r w:rsidRPr="00866277">
        <w:rPr>
          <w:lang w:val="ro-RO"/>
        </w:rPr>
        <w:t>Energbanc”SA</w:t>
      </w:r>
      <w:proofErr w:type="spellEnd"/>
      <w:r w:rsidRPr="00866277">
        <w:rPr>
          <w:lang w:val="ro-RO"/>
        </w:rPr>
        <w:t>, pentru anii 2017-2018.</w:t>
      </w:r>
      <w:r w:rsidR="0066693E" w:rsidRPr="00866277">
        <w:rPr>
          <w:lang w:val="ro-RO"/>
        </w:rPr>
        <w:t xml:space="preserve"> </w:t>
      </w:r>
      <w:r w:rsidRPr="00866277">
        <w:rPr>
          <w:lang w:val="ro-RO"/>
        </w:rPr>
        <w:t>În rezultatul examinării materialelor prezentate, în conlucrare cu BNM și BC „</w:t>
      </w:r>
      <w:proofErr w:type="spellStart"/>
      <w:r w:rsidRPr="00866277">
        <w:rPr>
          <w:lang w:val="ro-RO"/>
        </w:rPr>
        <w:t>Energbanc</w:t>
      </w:r>
      <w:proofErr w:type="spellEnd"/>
      <w:r w:rsidRPr="00866277">
        <w:rPr>
          <w:lang w:val="ro-RO"/>
        </w:rPr>
        <w:t>”, sancțiuni contravenționale nu au fost aplicate, din motivul depășirii termenului de prescripție pe cazul sesizat. Alte cazuri similare nu au fost reclamate sau constatate.</w:t>
      </w:r>
    </w:p>
    <w:p w:rsidR="00524D15" w:rsidRPr="00866277" w:rsidRDefault="00524D15" w:rsidP="003A744D">
      <w:pPr>
        <w:ind w:firstLine="720"/>
        <w:jc w:val="both"/>
        <w:rPr>
          <w:rFonts w:eastAsia="Times New Roman"/>
          <w:bCs/>
          <w:i/>
          <w:lang w:val="ro-RO"/>
        </w:rPr>
      </w:pPr>
    </w:p>
    <w:p w:rsidR="006F1FBF" w:rsidRPr="00866277" w:rsidRDefault="006F1FBF" w:rsidP="00D21B0A">
      <w:pPr>
        <w:ind w:firstLine="720"/>
        <w:jc w:val="both"/>
        <w:rPr>
          <w:rFonts w:eastAsia="Times New Roman"/>
          <w:b/>
          <w:bCs/>
          <w:lang w:val="ro-RO"/>
        </w:rPr>
      </w:pPr>
    </w:p>
    <w:p w:rsidR="001E4747" w:rsidRPr="00866277" w:rsidRDefault="001E4747" w:rsidP="00D21B0A">
      <w:pPr>
        <w:ind w:firstLine="720"/>
        <w:jc w:val="both"/>
        <w:rPr>
          <w:rFonts w:eastAsia="Times New Roman"/>
          <w:b/>
          <w:bCs/>
          <w:lang w:val="ro-RO"/>
        </w:rPr>
      </w:pPr>
      <w:r w:rsidRPr="00866277">
        <w:rPr>
          <w:rFonts w:eastAsia="Times New Roman"/>
          <w:b/>
          <w:bCs/>
          <w:lang w:val="ro-RO"/>
        </w:rPr>
        <w:t>2.4. Stabilirea bazei de calcul pentru evaluare</w:t>
      </w:r>
    </w:p>
    <w:p w:rsidR="00903446" w:rsidRPr="00F54FFA" w:rsidRDefault="00B856C1" w:rsidP="00F54FFA">
      <w:pPr>
        <w:ind w:firstLine="720"/>
        <w:jc w:val="both"/>
        <w:rPr>
          <w:lang w:val="ro-RO"/>
        </w:rPr>
      </w:pPr>
      <w:r w:rsidRPr="00F54FFA">
        <w:rPr>
          <w:rFonts w:eastAsia="Times New Roman"/>
          <w:bCs/>
          <w:lang w:val="ro-RO"/>
        </w:rPr>
        <w:t xml:space="preserve">Potrivit informațiilor prezentate de către APCSP, </w:t>
      </w:r>
      <w:r w:rsidR="00C761BD" w:rsidRPr="00F54FFA">
        <w:rPr>
          <w:rFonts w:eastAsia="Times New Roman"/>
          <w:bCs/>
          <w:lang w:val="ro-RO"/>
        </w:rPr>
        <w:t xml:space="preserve">în cadrul </w:t>
      </w:r>
      <w:r w:rsidR="00C761BD" w:rsidRPr="00F54FFA">
        <w:rPr>
          <w:rFonts w:eastAsia="Times New Roman"/>
          <w:b/>
          <w:bCs/>
          <w:lang w:val="ro-RO"/>
        </w:rPr>
        <w:t>acțiunii 2.4.1.</w:t>
      </w:r>
      <w:r w:rsidR="00C761BD" w:rsidRPr="00F54FFA">
        <w:rPr>
          <w:rFonts w:eastAsia="Times New Roman"/>
          <w:bCs/>
          <w:lang w:val="ro-RO"/>
        </w:rPr>
        <w:t xml:space="preserve"> p</w:t>
      </w:r>
      <w:r w:rsidR="00903446" w:rsidRPr="00F54FFA">
        <w:rPr>
          <w:lang w:val="ro-RO"/>
        </w:rPr>
        <w:t xml:space="preserve">e parcursul anului 2019, au fost înregistrate </w:t>
      </w:r>
      <w:r w:rsidR="00903446" w:rsidRPr="00F54FFA">
        <w:rPr>
          <w:u w:val="single"/>
          <w:lang w:val="ro-RO"/>
        </w:rPr>
        <w:t>1493 petiții</w:t>
      </w:r>
      <w:r w:rsidR="00903446" w:rsidRPr="00F54FFA">
        <w:rPr>
          <w:lang w:val="ro-RO"/>
        </w:rPr>
        <w:t>, prin care consumatorii au r</w:t>
      </w:r>
      <w:r w:rsidR="0060311D" w:rsidRPr="00F54FFA">
        <w:rPr>
          <w:lang w:val="ro-RO"/>
        </w:rPr>
        <w:t xml:space="preserve">eclamat un șir de tranzacții </w:t>
      </w:r>
      <w:r w:rsidR="00903446" w:rsidRPr="00F54FFA">
        <w:rPr>
          <w:lang w:val="ro-RO"/>
        </w:rPr>
        <w:t>prejudiciabile, cele mai frecvente petiții</w:t>
      </w:r>
      <w:r w:rsidR="0060311D" w:rsidRPr="00F54FFA">
        <w:rPr>
          <w:lang w:val="ro-RO"/>
        </w:rPr>
        <w:t xml:space="preserve"> s-au referit la</w:t>
      </w:r>
      <w:r w:rsidR="00903446" w:rsidRPr="00F54FFA">
        <w:rPr>
          <w:lang w:val="ro-RO"/>
        </w:rPr>
        <w:t>:</w:t>
      </w:r>
    </w:p>
    <w:p w:rsidR="0060311D" w:rsidRPr="00F54FFA" w:rsidRDefault="00903446" w:rsidP="00F54FFA">
      <w:pPr>
        <w:pStyle w:val="ListParagraph"/>
        <w:numPr>
          <w:ilvl w:val="0"/>
          <w:numId w:val="21"/>
        </w:numPr>
        <w:tabs>
          <w:tab w:val="left" w:pos="285"/>
          <w:tab w:val="left" w:pos="495"/>
        </w:tabs>
        <w:spacing w:after="0" w:line="240" w:lineRule="auto"/>
        <w:ind w:left="0" w:firstLine="720"/>
        <w:contextualSpacing w:val="0"/>
        <w:jc w:val="both"/>
        <w:rPr>
          <w:rFonts w:ascii="Times New Roman" w:hAnsi="Times New Roman"/>
          <w:sz w:val="24"/>
          <w:szCs w:val="24"/>
          <w:lang w:val="ro-RO"/>
        </w:rPr>
      </w:pPr>
      <w:r w:rsidRPr="00F54FFA">
        <w:rPr>
          <w:rFonts w:ascii="Times New Roman" w:hAnsi="Times New Roman"/>
          <w:sz w:val="24"/>
          <w:szCs w:val="24"/>
          <w:lang w:val="ro-RO"/>
        </w:rPr>
        <w:t xml:space="preserve">servicii prestate – 802;  </w:t>
      </w:r>
    </w:p>
    <w:p w:rsidR="0060311D" w:rsidRPr="00F54FFA" w:rsidRDefault="00903446" w:rsidP="00F54FFA">
      <w:pPr>
        <w:pStyle w:val="ListParagraph"/>
        <w:numPr>
          <w:ilvl w:val="0"/>
          <w:numId w:val="21"/>
        </w:numPr>
        <w:tabs>
          <w:tab w:val="left" w:pos="285"/>
          <w:tab w:val="left" w:pos="495"/>
        </w:tabs>
        <w:spacing w:after="0" w:line="240" w:lineRule="auto"/>
        <w:ind w:left="0" w:firstLine="720"/>
        <w:contextualSpacing w:val="0"/>
        <w:jc w:val="both"/>
        <w:rPr>
          <w:rFonts w:ascii="Times New Roman" w:hAnsi="Times New Roman"/>
          <w:sz w:val="24"/>
          <w:szCs w:val="24"/>
          <w:lang w:val="ro-RO"/>
        </w:rPr>
      </w:pPr>
      <w:r w:rsidRPr="00F54FFA">
        <w:rPr>
          <w:rFonts w:ascii="Times New Roman" w:hAnsi="Times New Roman"/>
          <w:sz w:val="24"/>
          <w:szCs w:val="24"/>
          <w:lang w:val="ro-RO"/>
        </w:rPr>
        <w:t xml:space="preserve">produse nealimentare – 502;  </w:t>
      </w:r>
    </w:p>
    <w:p w:rsidR="00903446" w:rsidRPr="00F54FFA" w:rsidRDefault="00903446" w:rsidP="00F54FFA">
      <w:pPr>
        <w:pStyle w:val="ListParagraph"/>
        <w:numPr>
          <w:ilvl w:val="0"/>
          <w:numId w:val="21"/>
        </w:numPr>
        <w:tabs>
          <w:tab w:val="left" w:pos="285"/>
          <w:tab w:val="left" w:pos="495"/>
        </w:tabs>
        <w:spacing w:after="0" w:line="240" w:lineRule="auto"/>
        <w:ind w:left="0" w:firstLine="720"/>
        <w:contextualSpacing w:val="0"/>
        <w:jc w:val="both"/>
        <w:rPr>
          <w:rFonts w:ascii="Times New Roman" w:hAnsi="Times New Roman"/>
          <w:sz w:val="24"/>
          <w:szCs w:val="24"/>
          <w:lang w:val="ro-RO"/>
        </w:rPr>
      </w:pPr>
      <w:r w:rsidRPr="00F54FFA">
        <w:rPr>
          <w:rFonts w:ascii="Times New Roman" w:hAnsi="Times New Roman"/>
          <w:sz w:val="24"/>
          <w:szCs w:val="24"/>
          <w:lang w:val="ro-RO"/>
        </w:rPr>
        <w:t>încălcarea regulilor de comerț – 81;</w:t>
      </w:r>
    </w:p>
    <w:p w:rsidR="00903446" w:rsidRPr="00F54FFA" w:rsidRDefault="00903446" w:rsidP="00F54FFA">
      <w:pPr>
        <w:pStyle w:val="ListParagraph"/>
        <w:numPr>
          <w:ilvl w:val="0"/>
          <w:numId w:val="21"/>
        </w:numPr>
        <w:tabs>
          <w:tab w:val="left" w:pos="285"/>
        </w:tabs>
        <w:spacing w:after="0" w:line="240" w:lineRule="auto"/>
        <w:ind w:left="0" w:firstLine="720"/>
        <w:contextualSpacing w:val="0"/>
        <w:jc w:val="both"/>
        <w:rPr>
          <w:rFonts w:ascii="Times New Roman" w:hAnsi="Times New Roman"/>
          <w:sz w:val="24"/>
          <w:szCs w:val="24"/>
          <w:lang w:val="ro-RO"/>
        </w:rPr>
      </w:pPr>
      <w:r w:rsidRPr="00F54FFA">
        <w:rPr>
          <w:rFonts w:ascii="Times New Roman" w:hAnsi="Times New Roman"/>
          <w:sz w:val="24"/>
          <w:szCs w:val="24"/>
          <w:lang w:val="ro-RO"/>
        </w:rPr>
        <w:t>serviciile de alimentație publică/produse alimentare neconforme – 56;</w:t>
      </w:r>
    </w:p>
    <w:p w:rsidR="00903446" w:rsidRPr="00F54FFA" w:rsidRDefault="00903446" w:rsidP="00F54FFA">
      <w:pPr>
        <w:pStyle w:val="ListParagraph"/>
        <w:numPr>
          <w:ilvl w:val="0"/>
          <w:numId w:val="21"/>
        </w:numPr>
        <w:tabs>
          <w:tab w:val="left" w:pos="285"/>
        </w:tabs>
        <w:spacing w:after="0" w:line="240" w:lineRule="auto"/>
        <w:ind w:left="0" w:firstLine="720"/>
        <w:contextualSpacing w:val="0"/>
        <w:jc w:val="both"/>
        <w:rPr>
          <w:rFonts w:ascii="Times New Roman" w:hAnsi="Times New Roman"/>
          <w:sz w:val="24"/>
          <w:szCs w:val="24"/>
          <w:lang w:val="ro-RO"/>
        </w:rPr>
      </w:pPr>
      <w:r w:rsidRPr="00F54FFA">
        <w:rPr>
          <w:rFonts w:ascii="Times New Roman" w:hAnsi="Times New Roman"/>
          <w:sz w:val="24"/>
          <w:szCs w:val="24"/>
          <w:lang w:val="ro-RO"/>
        </w:rPr>
        <w:t xml:space="preserve">mijloace de măsurare neconforme utilizate în tranzacțiile comerciale – 32; </w:t>
      </w:r>
    </w:p>
    <w:p w:rsidR="0060311D" w:rsidRPr="00F54FFA" w:rsidRDefault="00903446" w:rsidP="00F54FFA">
      <w:pPr>
        <w:pStyle w:val="ListParagraph"/>
        <w:numPr>
          <w:ilvl w:val="0"/>
          <w:numId w:val="21"/>
        </w:numPr>
        <w:tabs>
          <w:tab w:val="left" w:pos="285"/>
        </w:tabs>
        <w:spacing w:after="0" w:line="240" w:lineRule="auto"/>
        <w:ind w:left="0" w:firstLine="720"/>
        <w:contextualSpacing w:val="0"/>
        <w:jc w:val="both"/>
        <w:rPr>
          <w:rFonts w:ascii="Times New Roman" w:hAnsi="Times New Roman"/>
          <w:sz w:val="24"/>
          <w:szCs w:val="24"/>
          <w:lang w:val="ro-RO"/>
        </w:rPr>
      </w:pPr>
      <w:r w:rsidRPr="00F54FFA">
        <w:rPr>
          <w:rFonts w:ascii="Times New Roman" w:hAnsi="Times New Roman"/>
          <w:sz w:val="24"/>
          <w:szCs w:val="24"/>
          <w:lang w:val="ro-RO"/>
        </w:rPr>
        <w:t xml:space="preserve">diverse - 11;   </w:t>
      </w:r>
    </w:p>
    <w:p w:rsidR="0060311D" w:rsidRPr="00F54FFA" w:rsidRDefault="008937C9" w:rsidP="00F54FFA">
      <w:pPr>
        <w:pStyle w:val="ListParagraph"/>
        <w:numPr>
          <w:ilvl w:val="0"/>
          <w:numId w:val="21"/>
        </w:numPr>
        <w:tabs>
          <w:tab w:val="left" w:pos="285"/>
        </w:tabs>
        <w:spacing w:after="0" w:line="240" w:lineRule="auto"/>
        <w:ind w:left="0" w:firstLine="720"/>
        <w:contextualSpacing w:val="0"/>
        <w:jc w:val="both"/>
        <w:rPr>
          <w:rFonts w:ascii="Times New Roman" w:hAnsi="Times New Roman"/>
          <w:sz w:val="24"/>
          <w:szCs w:val="24"/>
          <w:lang w:val="ro-RO"/>
        </w:rPr>
      </w:pPr>
      <w:r w:rsidRPr="00F54FFA">
        <w:rPr>
          <w:rFonts w:ascii="Times New Roman" w:hAnsi="Times New Roman"/>
          <w:sz w:val="24"/>
          <w:szCs w:val="24"/>
          <w:lang w:val="ro-RO"/>
        </w:rPr>
        <w:t>siguranța ocupațională</w:t>
      </w:r>
      <w:r w:rsidR="00903446" w:rsidRPr="00F54FFA">
        <w:rPr>
          <w:rFonts w:ascii="Times New Roman" w:hAnsi="Times New Roman"/>
          <w:sz w:val="24"/>
          <w:szCs w:val="24"/>
          <w:lang w:val="ro-RO"/>
        </w:rPr>
        <w:t xml:space="preserve"> - 8;  </w:t>
      </w:r>
    </w:p>
    <w:p w:rsidR="00903446" w:rsidRPr="00F54FFA" w:rsidRDefault="00903446" w:rsidP="00F54FFA">
      <w:pPr>
        <w:pStyle w:val="ListParagraph"/>
        <w:numPr>
          <w:ilvl w:val="0"/>
          <w:numId w:val="21"/>
        </w:numPr>
        <w:tabs>
          <w:tab w:val="left" w:pos="285"/>
        </w:tabs>
        <w:spacing w:after="0" w:line="240" w:lineRule="auto"/>
        <w:ind w:left="0" w:firstLine="720"/>
        <w:contextualSpacing w:val="0"/>
        <w:jc w:val="both"/>
        <w:rPr>
          <w:rFonts w:ascii="Times New Roman" w:hAnsi="Times New Roman"/>
          <w:sz w:val="24"/>
          <w:szCs w:val="24"/>
          <w:lang w:val="ro-RO"/>
        </w:rPr>
      </w:pPr>
      <w:r w:rsidRPr="00F54FFA">
        <w:rPr>
          <w:rFonts w:ascii="Times New Roman" w:hAnsi="Times New Roman"/>
          <w:sz w:val="24"/>
          <w:szCs w:val="24"/>
          <w:lang w:val="ro-RO"/>
        </w:rPr>
        <w:t>jocuri de noroc - 1 reclamație.</w:t>
      </w:r>
    </w:p>
    <w:p w:rsidR="0027671F" w:rsidRPr="00F54FFA" w:rsidRDefault="0027671F" w:rsidP="00F54FFA">
      <w:pPr>
        <w:ind w:firstLine="720"/>
        <w:jc w:val="both"/>
        <w:rPr>
          <w:lang w:val="ro-RO"/>
        </w:rPr>
      </w:pPr>
    </w:p>
    <w:p w:rsidR="0027671F" w:rsidRDefault="00F54FFA" w:rsidP="00F54FFA">
      <w:pPr>
        <w:ind w:firstLine="720"/>
        <w:jc w:val="both"/>
        <w:rPr>
          <w:lang w:val="ro-RO"/>
        </w:rPr>
      </w:pPr>
      <w:r w:rsidRPr="00F54FFA">
        <w:rPr>
          <w:lang w:val="ro-RO"/>
        </w:rPr>
        <w:t>D</w:t>
      </w:r>
      <w:r w:rsidR="0027671F" w:rsidRPr="00F54FFA">
        <w:rPr>
          <w:lang w:val="ro-RO"/>
        </w:rPr>
        <w:t>e</w:t>
      </w:r>
      <w:r>
        <w:rPr>
          <w:lang w:val="ro-RO"/>
        </w:rPr>
        <w:t xml:space="preserve"> </w:t>
      </w:r>
      <w:r w:rsidR="0027671F" w:rsidRPr="00F54FFA">
        <w:rPr>
          <w:lang w:val="ro-RO"/>
        </w:rPr>
        <w:t xml:space="preserve">către CNPF au fost examinate </w:t>
      </w:r>
      <w:r w:rsidR="0027671F" w:rsidRPr="00F54FFA">
        <w:rPr>
          <w:u w:val="single"/>
          <w:lang w:val="ro-RO"/>
        </w:rPr>
        <w:t>383</w:t>
      </w:r>
      <w:r w:rsidR="0027671F" w:rsidRPr="00F54FFA">
        <w:rPr>
          <w:b/>
          <w:lang w:val="ro-RO"/>
        </w:rPr>
        <w:t xml:space="preserve"> </w:t>
      </w:r>
      <w:r w:rsidR="0027671F" w:rsidRPr="00F54FFA">
        <w:rPr>
          <w:u w:val="single"/>
          <w:lang w:val="ro-RO"/>
        </w:rPr>
        <w:t>de petiții</w:t>
      </w:r>
      <w:r w:rsidR="0027671F" w:rsidRPr="00F54FFA">
        <w:rPr>
          <w:lang w:val="ro-RO"/>
        </w:rPr>
        <w:t xml:space="preserve">, inclusiv: </w:t>
      </w:r>
      <w:r w:rsidR="0027671F" w:rsidRPr="00F54FFA">
        <w:rPr>
          <w:bCs/>
          <w:u w:val="single"/>
          <w:lang w:val="ro-RO"/>
        </w:rPr>
        <w:t xml:space="preserve">105 </w:t>
      </w:r>
      <w:r w:rsidR="0027671F" w:rsidRPr="00F54FFA">
        <w:rPr>
          <w:bCs/>
          <w:lang w:val="ro-RO"/>
        </w:rPr>
        <w:t xml:space="preserve">petiții și 9 solicitări de informații referitor la datele cu caracter personal - în domeniul asigurărilor, </w:t>
      </w:r>
      <w:r w:rsidR="0027671F" w:rsidRPr="00F54FFA">
        <w:rPr>
          <w:bCs/>
          <w:u w:val="single"/>
          <w:lang w:val="ro-RO"/>
        </w:rPr>
        <w:t>210</w:t>
      </w:r>
      <w:r w:rsidR="0027671F" w:rsidRPr="00F54FFA">
        <w:rPr>
          <w:bCs/>
          <w:lang w:val="ro-RO"/>
        </w:rPr>
        <w:t xml:space="preserve"> petiții în domeniul pieței de capital</w:t>
      </w:r>
      <w:r w:rsidR="0027671F" w:rsidRPr="00F54FFA">
        <w:rPr>
          <w:b/>
          <w:lang w:val="ro-RO"/>
        </w:rPr>
        <w:t xml:space="preserve"> </w:t>
      </w:r>
      <w:r w:rsidR="0027671F" w:rsidRPr="00F54FFA">
        <w:rPr>
          <w:bCs/>
          <w:lang w:val="ro-RO"/>
        </w:rPr>
        <w:t xml:space="preserve">și, respectiv, </w:t>
      </w:r>
      <w:r w:rsidR="0027671F" w:rsidRPr="00F54FFA">
        <w:rPr>
          <w:u w:val="single"/>
          <w:lang w:val="ro-RO"/>
        </w:rPr>
        <w:t>68</w:t>
      </w:r>
      <w:r w:rsidR="0027671F" w:rsidRPr="00F54FFA">
        <w:rPr>
          <w:lang w:val="ro-RO"/>
        </w:rPr>
        <w:t xml:space="preserve"> în domeniul o</w:t>
      </w:r>
      <w:r w:rsidR="0027671F" w:rsidRPr="00F54FFA">
        <w:rPr>
          <w:bCs/>
          <w:lang w:val="ro-RO"/>
        </w:rPr>
        <w:t>rganizațiilor de creditare nebancară</w:t>
      </w:r>
      <w:r w:rsidR="0027671F" w:rsidRPr="00F54FFA">
        <w:rPr>
          <w:lang w:val="ro-RO"/>
        </w:rPr>
        <w:t>.</w:t>
      </w:r>
    </w:p>
    <w:p w:rsidR="00F54FFA" w:rsidRPr="00F54FFA" w:rsidRDefault="00F54FFA" w:rsidP="00F54FFA">
      <w:pPr>
        <w:ind w:firstLine="720"/>
        <w:jc w:val="both"/>
        <w:rPr>
          <w:lang w:val="ro-RO"/>
        </w:rPr>
      </w:pPr>
    </w:p>
    <w:p w:rsidR="003A6BFE" w:rsidRPr="00F54FFA" w:rsidRDefault="003A6BFE" w:rsidP="00F54FFA">
      <w:pPr>
        <w:ind w:firstLine="720"/>
        <w:jc w:val="both"/>
        <w:rPr>
          <w:bCs/>
          <w:lang w:val="ro-RO"/>
        </w:rPr>
      </w:pPr>
      <w:r w:rsidRPr="00F54FFA">
        <w:rPr>
          <w:lang w:val="ro-MD"/>
        </w:rPr>
        <w:t>ANRE a înregistrat</w:t>
      </w:r>
      <w:r w:rsidRPr="00F54FFA">
        <w:rPr>
          <w:bCs/>
          <w:lang w:val="ro-RO"/>
        </w:rPr>
        <w:t xml:space="preserve"> </w:t>
      </w:r>
      <w:r w:rsidRPr="00F54FFA">
        <w:rPr>
          <w:bCs/>
          <w:u w:val="single"/>
          <w:lang w:val="ro-RO"/>
        </w:rPr>
        <w:t>825 petiții</w:t>
      </w:r>
      <w:r w:rsidRPr="00F54FFA">
        <w:rPr>
          <w:b/>
          <w:bCs/>
          <w:lang w:val="ro-RO"/>
        </w:rPr>
        <w:t xml:space="preserve"> </w:t>
      </w:r>
      <w:r w:rsidRPr="00F54FFA">
        <w:rPr>
          <w:bCs/>
          <w:lang w:val="ro-RO"/>
        </w:rPr>
        <w:t>și plân</w:t>
      </w:r>
      <w:r w:rsidR="00F54FFA">
        <w:rPr>
          <w:bCs/>
          <w:lang w:val="ro-RO"/>
        </w:rPr>
        <w:t xml:space="preserve">geri din partea consumatorilor, dintre care 800 petiții examinate iar </w:t>
      </w:r>
      <w:r w:rsidRPr="00F54FFA">
        <w:rPr>
          <w:bCs/>
          <w:lang w:val="ro-RO"/>
        </w:rPr>
        <w:t>25 petiții</w:t>
      </w:r>
      <w:r w:rsidR="00F54FFA">
        <w:rPr>
          <w:bCs/>
          <w:lang w:val="ro-RO"/>
        </w:rPr>
        <w:t xml:space="preserve"> au fost remise conform competenței. Suplimentar, oferit </w:t>
      </w:r>
      <w:r w:rsidRPr="00F54FFA">
        <w:rPr>
          <w:bCs/>
          <w:lang w:val="ro-RO"/>
        </w:rPr>
        <w:t>468 consultații prin intermediul serviciului linia verde și 221 persoane au fost primite în audiență</w:t>
      </w:r>
      <w:r w:rsidR="00F54FFA">
        <w:rPr>
          <w:bCs/>
          <w:lang w:val="ro-RO"/>
        </w:rPr>
        <w:t xml:space="preserve">. Totodată, ANRE a adoptat </w:t>
      </w:r>
      <w:r w:rsidRPr="00F54FFA">
        <w:rPr>
          <w:bCs/>
          <w:lang w:val="ro-RO"/>
        </w:rPr>
        <w:t xml:space="preserve">9 decizii </w:t>
      </w:r>
      <w:r w:rsidR="00F54FFA">
        <w:rPr>
          <w:bCs/>
          <w:lang w:val="ro-RO"/>
        </w:rPr>
        <w:t>d</w:t>
      </w:r>
      <w:r w:rsidRPr="00F54FFA">
        <w:rPr>
          <w:bCs/>
          <w:lang w:val="ro-RO"/>
        </w:rPr>
        <w:t>e obligare a furnizorilor să încheie contractul de furnizare a energiei electrice, contracararea altor încălcări, fiind atenționați furnizorii asupra neadmiterii încălc</w:t>
      </w:r>
      <w:r w:rsidR="00F54FFA">
        <w:rPr>
          <w:bCs/>
          <w:lang w:val="ro-RO"/>
        </w:rPr>
        <w:t xml:space="preserve">ării drepturilor consumatorilor și a întocmit </w:t>
      </w:r>
      <w:r w:rsidRPr="00F54FFA">
        <w:rPr>
          <w:bCs/>
          <w:lang w:val="ro-RO"/>
        </w:rPr>
        <w:t>13 prescripții de înlăturare a încălcărilor drepturilor consumatorilor.</w:t>
      </w:r>
    </w:p>
    <w:p w:rsidR="003A6BFE" w:rsidRPr="00F54FFA" w:rsidRDefault="003A6BFE" w:rsidP="00F54FFA">
      <w:pPr>
        <w:ind w:firstLine="720"/>
        <w:jc w:val="both"/>
        <w:rPr>
          <w:lang w:val="ro-RO"/>
        </w:rPr>
      </w:pPr>
    </w:p>
    <w:p w:rsidR="00290348" w:rsidRPr="00F54FFA" w:rsidRDefault="00290348" w:rsidP="00F54FFA">
      <w:pPr>
        <w:ind w:firstLine="720"/>
        <w:jc w:val="both"/>
        <w:rPr>
          <w:lang w:val="ro-RO"/>
        </w:rPr>
      </w:pPr>
      <w:r w:rsidRPr="00F54FFA">
        <w:rPr>
          <w:lang w:val="ro-RO"/>
        </w:rPr>
        <w:t xml:space="preserve">În perioada de referință, la Agenția Națională Transport Auto au fost înregistrate </w:t>
      </w:r>
      <w:r w:rsidRPr="00F54FFA">
        <w:rPr>
          <w:u w:val="single"/>
          <w:lang w:val="ro-RO"/>
        </w:rPr>
        <w:t>98 petiții</w:t>
      </w:r>
      <w:r w:rsidRPr="00F54FFA">
        <w:rPr>
          <w:lang w:val="ro-RO"/>
        </w:rPr>
        <w:t xml:space="preserve"> din domeniul protecției consumatorilor, inclusiv 33 petiții parvenite prin intermediul Agenției pentru Protecția  consumatorilor  și </w:t>
      </w:r>
      <w:proofErr w:type="spellStart"/>
      <w:r w:rsidRPr="00F54FFA">
        <w:rPr>
          <w:lang w:val="ro-RO"/>
        </w:rPr>
        <w:t>Supraveherea</w:t>
      </w:r>
      <w:proofErr w:type="spellEnd"/>
      <w:r w:rsidRPr="00F54FFA">
        <w:rPr>
          <w:lang w:val="ro-RO"/>
        </w:rPr>
        <w:t xml:space="preserve"> Pieței. Adresările cetățenilor vizau următoarele subiecte:</w:t>
      </w:r>
    </w:p>
    <w:p w:rsidR="00290348" w:rsidRPr="00F54FFA" w:rsidRDefault="00290348" w:rsidP="00F54FFA">
      <w:pPr>
        <w:ind w:firstLine="720"/>
        <w:jc w:val="both"/>
        <w:rPr>
          <w:lang w:val="ro-RO"/>
        </w:rPr>
      </w:pPr>
      <w:r w:rsidRPr="00F54FFA">
        <w:rPr>
          <w:lang w:val="ro-RO"/>
        </w:rPr>
        <w:t>- condițiile și calitatea serviciilor prestate în sfera transporturilor rutiere contra cost;</w:t>
      </w:r>
    </w:p>
    <w:p w:rsidR="00290348" w:rsidRPr="00F54FFA" w:rsidRDefault="0061251F" w:rsidP="00F54FFA">
      <w:pPr>
        <w:ind w:firstLine="720"/>
        <w:jc w:val="both"/>
        <w:rPr>
          <w:lang w:val="ro-RO"/>
        </w:rPr>
      </w:pPr>
      <w:r w:rsidRPr="00F54FFA">
        <w:rPr>
          <w:lang w:val="ro-RO"/>
        </w:rPr>
        <w:t xml:space="preserve">- </w:t>
      </w:r>
      <w:r w:rsidR="00290348" w:rsidRPr="00F54FFA">
        <w:rPr>
          <w:lang w:val="ro-RO"/>
        </w:rPr>
        <w:t>comportamentul conduc</w:t>
      </w:r>
      <w:r w:rsidRPr="00F54FFA">
        <w:rPr>
          <w:lang w:val="ro-RO"/>
        </w:rPr>
        <w:t>ătorilor</w:t>
      </w:r>
      <w:r w:rsidR="00290348" w:rsidRPr="00F54FFA">
        <w:rPr>
          <w:lang w:val="ro-RO"/>
        </w:rPr>
        <w:t xml:space="preserve"> auto, inclusiv conflictele cu </w:t>
      </w:r>
      <w:proofErr w:type="spellStart"/>
      <w:r w:rsidR="00290348" w:rsidRPr="00F54FFA">
        <w:rPr>
          <w:lang w:val="ro-RO"/>
        </w:rPr>
        <w:t>aceştia</w:t>
      </w:r>
      <w:proofErr w:type="spellEnd"/>
      <w:r w:rsidR="00290348" w:rsidRPr="00F54FFA">
        <w:rPr>
          <w:lang w:val="ro-RO"/>
        </w:rPr>
        <w:t>;</w:t>
      </w:r>
    </w:p>
    <w:p w:rsidR="00290348" w:rsidRPr="00F54FFA" w:rsidRDefault="0061251F" w:rsidP="00F54FFA">
      <w:pPr>
        <w:ind w:firstLine="720"/>
        <w:jc w:val="both"/>
        <w:rPr>
          <w:lang w:val="ro-RO"/>
        </w:rPr>
      </w:pPr>
      <w:r w:rsidRPr="00F54FFA">
        <w:rPr>
          <w:lang w:val="ro-RO"/>
        </w:rPr>
        <w:t xml:space="preserve">- </w:t>
      </w:r>
      <w:r w:rsidR="00290348" w:rsidRPr="00F54FFA">
        <w:rPr>
          <w:lang w:val="ro-RO"/>
        </w:rPr>
        <w:t xml:space="preserve">majorarea sau perceperea taxelor nejustificate de </w:t>
      </w:r>
      <w:r w:rsidRPr="00F54FFA">
        <w:rPr>
          <w:lang w:val="ro-RO"/>
        </w:rPr>
        <w:t>căt</w:t>
      </w:r>
      <w:r w:rsidR="00290348" w:rsidRPr="00F54FFA">
        <w:rPr>
          <w:lang w:val="ro-RO"/>
        </w:rPr>
        <w:t>re conducătorii auto sau operatorii</w:t>
      </w:r>
      <w:r w:rsidR="00C761BD" w:rsidRPr="00F54FFA">
        <w:rPr>
          <w:lang w:val="ro-RO"/>
        </w:rPr>
        <w:t xml:space="preserve"> </w:t>
      </w:r>
      <w:r w:rsidR="00290348" w:rsidRPr="00F54FFA">
        <w:rPr>
          <w:lang w:val="ro-RO"/>
        </w:rPr>
        <w:t>de transport rutier;</w:t>
      </w:r>
    </w:p>
    <w:p w:rsidR="00290348" w:rsidRPr="00F54FFA" w:rsidRDefault="0061251F" w:rsidP="00F54FFA">
      <w:pPr>
        <w:ind w:firstLine="720"/>
        <w:jc w:val="both"/>
        <w:rPr>
          <w:lang w:val="ro-RO"/>
        </w:rPr>
      </w:pPr>
      <w:r w:rsidRPr="00F54FFA">
        <w:rPr>
          <w:lang w:val="ro-RO"/>
        </w:rPr>
        <w:t xml:space="preserve">- </w:t>
      </w:r>
      <w:r w:rsidR="00C761BD" w:rsidRPr="00F54FFA">
        <w:rPr>
          <w:lang w:val="ro-RO"/>
        </w:rPr>
        <w:t>starea tehnică a unităților de</w:t>
      </w:r>
      <w:r w:rsidR="00290348" w:rsidRPr="00F54FFA">
        <w:rPr>
          <w:lang w:val="ro-RO"/>
        </w:rPr>
        <w:t xml:space="preserve"> </w:t>
      </w:r>
      <w:r w:rsidRPr="00F54FFA">
        <w:rPr>
          <w:lang w:val="ro-RO"/>
        </w:rPr>
        <w:t>transport;</w:t>
      </w:r>
    </w:p>
    <w:p w:rsidR="00290348" w:rsidRPr="00F54FFA" w:rsidRDefault="0061251F" w:rsidP="00F54FFA">
      <w:pPr>
        <w:ind w:firstLine="720"/>
        <w:jc w:val="both"/>
        <w:rPr>
          <w:lang w:val="ro-RO"/>
        </w:rPr>
      </w:pPr>
      <w:r w:rsidRPr="00F54FFA">
        <w:rPr>
          <w:lang w:val="ro-RO"/>
        </w:rPr>
        <w:t xml:space="preserve">- </w:t>
      </w:r>
      <w:r w:rsidR="00290348" w:rsidRPr="00F54FFA">
        <w:rPr>
          <w:lang w:val="ro-RO"/>
        </w:rPr>
        <w:t xml:space="preserve">nerespectarea graficului și </w:t>
      </w:r>
      <w:r w:rsidRPr="00F54FFA">
        <w:rPr>
          <w:lang w:val="ro-RO"/>
        </w:rPr>
        <w:t xml:space="preserve">a </w:t>
      </w:r>
      <w:r w:rsidR="00290348" w:rsidRPr="00F54FFA">
        <w:rPr>
          <w:lang w:val="ro-RO"/>
        </w:rPr>
        <w:t>orarului de circulație;</w:t>
      </w:r>
    </w:p>
    <w:p w:rsidR="00290348" w:rsidRPr="00F54FFA" w:rsidRDefault="0061251F" w:rsidP="00F54FFA">
      <w:pPr>
        <w:ind w:firstLine="720"/>
        <w:jc w:val="both"/>
        <w:rPr>
          <w:lang w:val="ro-RO"/>
        </w:rPr>
      </w:pPr>
      <w:r w:rsidRPr="00F54FFA">
        <w:rPr>
          <w:lang w:val="ro-RO"/>
        </w:rPr>
        <w:t xml:space="preserve">- </w:t>
      </w:r>
      <w:r w:rsidR="00290348" w:rsidRPr="00F54FFA">
        <w:rPr>
          <w:lang w:val="ro-RO"/>
        </w:rPr>
        <w:t>concurența neloial</w:t>
      </w:r>
      <w:r w:rsidRPr="00F54FFA">
        <w:rPr>
          <w:lang w:val="ro-RO"/>
        </w:rPr>
        <w:t>ă</w:t>
      </w:r>
      <w:r w:rsidR="00290348" w:rsidRPr="00F54FFA">
        <w:rPr>
          <w:lang w:val="ro-RO"/>
        </w:rPr>
        <w:t>,</w:t>
      </w:r>
    </w:p>
    <w:p w:rsidR="00290348" w:rsidRPr="00F54FFA" w:rsidRDefault="0061251F" w:rsidP="00F54FFA">
      <w:pPr>
        <w:ind w:firstLine="720"/>
        <w:jc w:val="both"/>
        <w:rPr>
          <w:lang w:val="ro-RO"/>
        </w:rPr>
      </w:pPr>
      <w:r w:rsidRPr="00F54FFA">
        <w:rPr>
          <w:lang w:val="ro-RO"/>
        </w:rPr>
        <w:t xml:space="preserve">- </w:t>
      </w:r>
      <w:r w:rsidR="00290348" w:rsidRPr="00F54FFA">
        <w:rPr>
          <w:lang w:val="ro-RO"/>
        </w:rPr>
        <w:t>pierderea bagajului, etc.</w:t>
      </w:r>
    </w:p>
    <w:p w:rsidR="00290348" w:rsidRPr="00F54FFA" w:rsidRDefault="0061251F" w:rsidP="00F54FFA">
      <w:pPr>
        <w:ind w:firstLine="720"/>
        <w:jc w:val="both"/>
        <w:rPr>
          <w:lang w:val="ro-RO"/>
        </w:rPr>
      </w:pPr>
      <w:r w:rsidRPr="00F54FFA">
        <w:rPr>
          <w:lang w:val="ro-RO"/>
        </w:rPr>
        <w:lastRenderedPageBreak/>
        <w:t>Î</w:t>
      </w:r>
      <w:r w:rsidR="00290348" w:rsidRPr="00F54FFA">
        <w:rPr>
          <w:lang w:val="ro-RO"/>
        </w:rPr>
        <w:t xml:space="preserve">n rezultatul examinării </w:t>
      </w:r>
      <w:proofErr w:type="spellStart"/>
      <w:r w:rsidR="00290348" w:rsidRPr="00F54FFA">
        <w:rPr>
          <w:lang w:val="ro-RO"/>
        </w:rPr>
        <w:t>plîngerilor</w:t>
      </w:r>
      <w:proofErr w:type="spellEnd"/>
      <w:r w:rsidR="00290348" w:rsidRPr="00F54FFA">
        <w:rPr>
          <w:lang w:val="ro-RO"/>
        </w:rPr>
        <w:t xml:space="preserve"> cetățenilor, </w:t>
      </w:r>
      <w:r w:rsidRPr="00F54FFA">
        <w:rPr>
          <w:lang w:val="ro-RO"/>
        </w:rPr>
        <w:t>î</w:t>
      </w:r>
      <w:r w:rsidR="00290348" w:rsidRPr="00F54FFA">
        <w:rPr>
          <w:lang w:val="ro-RO"/>
        </w:rPr>
        <w:t xml:space="preserve">n majoritatea cazurilor au fost </w:t>
      </w:r>
      <w:r w:rsidRPr="00F54FFA">
        <w:rPr>
          <w:lang w:val="ro-RO"/>
        </w:rPr>
        <w:t>sesizate</w:t>
      </w:r>
      <w:r w:rsidR="00290348" w:rsidRPr="00F54FFA">
        <w:rPr>
          <w:lang w:val="ro-RO"/>
        </w:rPr>
        <w:t xml:space="preserve"> operatorii de transport rutier în vederea efectuării </w:t>
      </w:r>
      <w:r w:rsidRPr="00F54FFA">
        <w:rPr>
          <w:lang w:val="ro-RO"/>
        </w:rPr>
        <w:t>cercetă</w:t>
      </w:r>
      <w:r w:rsidR="00290348" w:rsidRPr="00F54FFA">
        <w:rPr>
          <w:lang w:val="ro-RO"/>
        </w:rPr>
        <w:t xml:space="preserve">rii de serviciu și sancționării șoferilor, </w:t>
      </w:r>
      <w:r w:rsidRPr="00F54FFA">
        <w:rPr>
          <w:lang w:val="ro-RO"/>
        </w:rPr>
        <w:t>concomite</w:t>
      </w:r>
      <w:r w:rsidR="00290348" w:rsidRPr="00F54FFA">
        <w:rPr>
          <w:lang w:val="ro-RO"/>
        </w:rPr>
        <w:t xml:space="preserve">nt fiind supuși </w:t>
      </w:r>
      <w:r w:rsidRPr="00F54FFA">
        <w:rPr>
          <w:lang w:val="ro-RO"/>
        </w:rPr>
        <w:t>răspunderii contravenționale,</w:t>
      </w:r>
      <w:r w:rsidR="00290348" w:rsidRPr="00F54FFA">
        <w:rPr>
          <w:lang w:val="ro-RO"/>
        </w:rPr>
        <w:t xml:space="preserve"> după cum urmează:</w:t>
      </w:r>
    </w:p>
    <w:p w:rsidR="00290348" w:rsidRPr="00F54FFA" w:rsidRDefault="0061251F" w:rsidP="00F54FFA">
      <w:pPr>
        <w:ind w:firstLine="720"/>
        <w:jc w:val="both"/>
        <w:rPr>
          <w:lang w:val="ro-RO"/>
        </w:rPr>
      </w:pPr>
      <w:r w:rsidRPr="00F54FFA">
        <w:rPr>
          <w:lang w:val="ro-RO"/>
        </w:rPr>
        <w:t xml:space="preserve">- </w:t>
      </w:r>
      <w:r w:rsidR="00290348" w:rsidRPr="00F54FFA">
        <w:rPr>
          <w:lang w:val="ro-RO"/>
        </w:rPr>
        <w:t xml:space="preserve">art. 273, alin. ( 1) Cod </w:t>
      </w:r>
      <w:r w:rsidRPr="00F54FFA">
        <w:rPr>
          <w:lang w:val="ro-RO"/>
        </w:rPr>
        <w:t>contravenț</w:t>
      </w:r>
      <w:r w:rsidR="00290348" w:rsidRPr="00F54FFA">
        <w:rPr>
          <w:lang w:val="ro-RO"/>
        </w:rPr>
        <w:t xml:space="preserve">ional (înșelarea cumpărătorilor) - 1 </w:t>
      </w:r>
      <w:r w:rsidRPr="00F54FFA">
        <w:rPr>
          <w:lang w:val="ro-RO"/>
        </w:rPr>
        <w:t>caz</w:t>
      </w:r>
      <w:r w:rsidR="00290348" w:rsidRPr="00F54FFA">
        <w:rPr>
          <w:lang w:val="ro-RO"/>
        </w:rPr>
        <w:t>;</w:t>
      </w:r>
    </w:p>
    <w:p w:rsidR="00290348" w:rsidRPr="00F54FFA" w:rsidRDefault="0061251F" w:rsidP="00F54FFA">
      <w:pPr>
        <w:ind w:firstLine="720"/>
        <w:jc w:val="both"/>
        <w:rPr>
          <w:lang w:val="ro-RO"/>
        </w:rPr>
      </w:pPr>
      <w:r w:rsidRPr="00F54FFA">
        <w:rPr>
          <w:lang w:val="ro-RO"/>
        </w:rPr>
        <w:t xml:space="preserve">- </w:t>
      </w:r>
      <w:r w:rsidR="00290348" w:rsidRPr="00F54FFA">
        <w:rPr>
          <w:lang w:val="ro-RO"/>
        </w:rPr>
        <w:t xml:space="preserve">art. 273, alin. (10) Cod contravențional </w:t>
      </w:r>
      <w:r w:rsidRPr="00F54FFA">
        <w:rPr>
          <w:lang w:val="ro-RO"/>
        </w:rPr>
        <w:t>(ref</w:t>
      </w:r>
      <w:r w:rsidR="00290348" w:rsidRPr="00F54FFA">
        <w:rPr>
          <w:lang w:val="ro-RO"/>
        </w:rPr>
        <w:t xml:space="preserve">uzul </w:t>
      </w:r>
      <w:proofErr w:type="spellStart"/>
      <w:r w:rsidR="00290348" w:rsidRPr="00F54FFA">
        <w:rPr>
          <w:lang w:val="ro-RO"/>
        </w:rPr>
        <w:t>nejustiticat</w:t>
      </w:r>
      <w:proofErr w:type="spellEnd"/>
      <w:r w:rsidR="00290348" w:rsidRPr="00F54FFA">
        <w:rPr>
          <w:lang w:val="ro-RO"/>
        </w:rPr>
        <w:t xml:space="preserve"> </w:t>
      </w:r>
      <w:r w:rsidRPr="00F54FFA">
        <w:rPr>
          <w:lang w:val="ro-RO"/>
        </w:rPr>
        <w:t>de</w:t>
      </w:r>
      <w:r w:rsidR="00290348" w:rsidRPr="00F54FFA">
        <w:rPr>
          <w:lang w:val="ro-RO"/>
        </w:rPr>
        <w:t xml:space="preserve"> a presta un serviciu) — 11 cazuri</w:t>
      </w:r>
      <w:r w:rsidRPr="00F54FFA">
        <w:rPr>
          <w:lang w:val="ro-RO"/>
        </w:rPr>
        <w:t>;</w:t>
      </w:r>
    </w:p>
    <w:p w:rsidR="00290348" w:rsidRPr="00F54FFA" w:rsidRDefault="0061251F" w:rsidP="00F54FFA">
      <w:pPr>
        <w:ind w:firstLine="720"/>
        <w:jc w:val="both"/>
        <w:rPr>
          <w:lang w:val="ro-RO"/>
        </w:rPr>
      </w:pPr>
      <w:r w:rsidRPr="00F54FFA">
        <w:rPr>
          <w:lang w:val="ro-RO"/>
        </w:rPr>
        <w:t xml:space="preserve">- </w:t>
      </w:r>
      <w:r w:rsidR="00290348" w:rsidRPr="00F54FFA">
        <w:rPr>
          <w:lang w:val="ro-RO"/>
        </w:rPr>
        <w:t xml:space="preserve">art. 278, alin. (2) Cod </w:t>
      </w:r>
      <w:r w:rsidRPr="00F54FFA">
        <w:rPr>
          <w:lang w:val="ro-RO"/>
        </w:rPr>
        <w:t>contravenț</w:t>
      </w:r>
      <w:r w:rsidR="00290348" w:rsidRPr="00F54FFA">
        <w:rPr>
          <w:lang w:val="ro-RO"/>
        </w:rPr>
        <w:t>ional (refuzul prestatorului de a satisface reclamația</w:t>
      </w:r>
      <w:r w:rsidR="00C761BD" w:rsidRPr="00F54FFA">
        <w:rPr>
          <w:lang w:val="ro-RO"/>
        </w:rPr>
        <w:t xml:space="preserve"> </w:t>
      </w:r>
      <w:r w:rsidR="00290348" w:rsidRPr="00F54FFA">
        <w:rPr>
          <w:lang w:val="ro-RO"/>
        </w:rPr>
        <w:t xml:space="preserve">consumatorului privind remedierea gratuită a deficienților </w:t>
      </w:r>
      <w:r w:rsidR="00A05315" w:rsidRPr="00F54FFA">
        <w:rPr>
          <w:lang w:val="ro-RO"/>
        </w:rPr>
        <w:t>apă</w:t>
      </w:r>
      <w:r w:rsidR="00290348" w:rsidRPr="00F54FFA">
        <w:rPr>
          <w:lang w:val="ro-RO"/>
        </w:rPr>
        <w:t>rute la produs) —5 cazuri;</w:t>
      </w:r>
    </w:p>
    <w:p w:rsidR="00290348" w:rsidRPr="00F54FFA" w:rsidRDefault="00A05315" w:rsidP="00F54FFA">
      <w:pPr>
        <w:ind w:firstLine="720"/>
        <w:jc w:val="both"/>
        <w:rPr>
          <w:lang w:val="ro-RO"/>
        </w:rPr>
      </w:pPr>
      <w:r w:rsidRPr="00F54FFA">
        <w:rPr>
          <w:lang w:val="ro-RO"/>
        </w:rPr>
        <w:t xml:space="preserve">- </w:t>
      </w:r>
      <w:r w:rsidR="00290348" w:rsidRPr="00F54FFA">
        <w:rPr>
          <w:lang w:val="ro-RO"/>
        </w:rPr>
        <w:t>art.</w:t>
      </w:r>
      <w:r w:rsidR="00290348" w:rsidRPr="00F54FFA">
        <w:rPr>
          <w:lang w:val="ro-RO"/>
        </w:rPr>
        <w:tab/>
        <w:t>279</w:t>
      </w:r>
      <w:r w:rsidR="00290348" w:rsidRPr="00F54FFA">
        <w:rPr>
          <w:lang w:val="ro-RO"/>
        </w:rPr>
        <w:tab/>
        <w:t>Cod</w:t>
      </w:r>
      <w:r w:rsidR="00290348" w:rsidRPr="00F54FFA">
        <w:rPr>
          <w:lang w:val="ro-RO"/>
        </w:rPr>
        <w:tab/>
        <w:t>contravențional</w:t>
      </w:r>
      <w:r w:rsidR="00290348" w:rsidRPr="00F54FFA">
        <w:rPr>
          <w:lang w:val="ro-RO"/>
        </w:rPr>
        <w:tab/>
        <w:t>(prezen</w:t>
      </w:r>
      <w:r w:rsidR="00471F51" w:rsidRPr="00F54FFA">
        <w:rPr>
          <w:lang w:val="ro-RO"/>
        </w:rPr>
        <w:t>tarea</w:t>
      </w:r>
      <w:r w:rsidR="00471F51" w:rsidRPr="00F54FFA">
        <w:rPr>
          <w:lang w:val="ro-RO"/>
        </w:rPr>
        <w:tab/>
        <w:t>de</w:t>
      </w:r>
      <w:r w:rsidR="00471F51" w:rsidRPr="00F54FFA">
        <w:rPr>
          <w:lang w:val="ro-RO"/>
        </w:rPr>
        <w:tab/>
        <w:t>informații</w:t>
      </w:r>
      <w:r w:rsidR="00C761BD" w:rsidRPr="00F54FFA">
        <w:rPr>
          <w:lang w:val="ro-RO"/>
        </w:rPr>
        <w:t xml:space="preserve"> </w:t>
      </w:r>
      <w:r w:rsidR="00471F51" w:rsidRPr="00F54FFA">
        <w:rPr>
          <w:lang w:val="ro-RO"/>
        </w:rPr>
        <w:t xml:space="preserve">neautentice </w:t>
      </w:r>
      <w:r w:rsidR="00290348" w:rsidRPr="00F54FFA">
        <w:rPr>
          <w:lang w:val="ro-RO"/>
        </w:rPr>
        <w:t>despre caracteris</w:t>
      </w:r>
      <w:r w:rsidR="00471F51" w:rsidRPr="00F54FFA">
        <w:rPr>
          <w:lang w:val="ro-RO"/>
        </w:rPr>
        <w:t>ticile serviciilor ) — 2 cazuri;</w:t>
      </w:r>
    </w:p>
    <w:p w:rsidR="00290348" w:rsidRPr="00F54FFA" w:rsidRDefault="00471F51" w:rsidP="00F54FFA">
      <w:pPr>
        <w:ind w:firstLine="720"/>
        <w:jc w:val="both"/>
        <w:rPr>
          <w:lang w:val="ro-RO"/>
        </w:rPr>
      </w:pPr>
      <w:r w:rsidRPr="00F54FFA">
        <w:rPr>
          <w:lang w:val="ro-RO"/>
        </w:rPr>
        <w:t xml:space="preserve">- </w:t>
      </w:r>
      <w:r w:rsidR="00290348" w:rsidRPr="00F54FFA">
        <w:rPr>
          <w:lang w:val="ro-RO"/>
        </w:rPr>
        <w:t xml:space="preserve">art. 344. alin. (3) Cod contravențional (neafișarea la vedere de </w:t>
      </w:r>
      <w:proofErr w:type="spellStart"/>
      <w:r w:rsidR="00290348" w:rsidRPr="00F54FFA">
        <w:rPr>
          <w:lang w:val="ro-RO"/>
        </w:rPr>
        <w:t>catre</w:t>
      </w:r>
      <w:proofErr w:type="spellEnd"/>
      <w:r w:rsidR="00290348" w:rsidRPr="00F54FFA">
        <w:rPr>
          <w:lang w:val="ro-RO"/>
        </w:rPr>
        <w:t xml:space="preserve"> prestator a adresei și numărului de </w:t>
      </w:r>
      <w:r w:rsidRPr="00F54FFA">
        <w:rPr>
          <w:lang w:val="ro-RO"/>
        </w:rPr>
        <w:t>telefon al autorității abilitate cu fu</w:t>
      </w:r>
      <w:r w:rsidR="00290348" w:rsidRPr="00F54FFA">
        <w:rPr>
          <w:lang w:val="ro-RO"/>
        </w:rPr>
        <w:t>ncție de protecție a consumatorului)</w:t>
      </w:r>
      <w:r w:rsidRPr="00F54FFA">
        <w:rPr>
          <w:lang w:val="ro-RO"/>
        </w:rPr>
        <w:t xml:space="preserve"> </w:t>
      </w:r>
      <w:r w:rsidR="00290348" w:rsidRPr="00F54FFA">
        <w:rPr>
          <w:lang w:val="ro-RO"/>
        </w:rPr>
        <w:t>— 41 cazuri.</w:t>
      </w:r>
    </w:p>
    <w:p w:rsidR="00290348" w:rsidRPr="00F54FFA" w:rsidRDefault="00290348" w:rsidP="00F54FFA">
      <w:pPr>
        <w:ind w:firstLine="720"/>
        <w:jc w:val="both"/>
        <w:rPr>
          <w:lang w:val="ro-RO"/>
        </w:rPr>
      </w:pPr>
      <w:r w:rsidRPr="00F54FFA">
        <w:rPr>
          <w:lang w:val="ro-RO"/>
        </w:rPr>
        <w:t>Concomitent cu aplicarea sancțiun</w:t>
      </w:r>
      <w:r w:rsidR="00471F51" w:rsidRPr="00F54FFA">
        <w:rPr>
          <w:lang w:val="ro-RO"/>
        </w:rPr>
        <w:t xml:space="preserve">ilor, </w:t>
      </w:r>
      <w:proofErr w:type="spellStart"/>
      <w:r w:rsidR="00471F51" w:rsidRPr="00F54FFA">
        <w:rPr>
          <w:lang w:val="ro-RO"/>
        </w:rPr>
        <w:t>atît</w:t>
      </w:r>
      <w:proofErr w:type="spellEnd"/>
      <w:r w:rsidR="00471F51" w:rsidRPr="00F54FFA">
        <w:rPr>
          <w:lang w:val="ro-RO"/>
        </w:rPr>
        <w:t xml:space="preserve"> conducătorii auto, </w:t>
      </w:r>
      <w:proofErr w:type="spellStart"/>
      <w:r w:rsidR="00471F51" w:rsidRPr="00F54FFA">
        <w:rPr>
          <w:lang w:val="ro-RO"/>
        </w:rPr>
        <w:t>cî</w:t>
      </w:r>
      <w:r w:rsidRPr="00F54FFA">
        <w:rPr>
          <w:lang w:val="ro-RO"/>
        </w:rPr>
        <w:t>t</w:t>
      </w:r>
      <w:proofErr w:type="spellEnd"/>
      <w:r w:rsidRPr="00F54FFA">
        <w:rPr>
          <w:lang w:val="ro-RO"/>
        </w:rPr>
        <w:t xml:space="preserve"> și operatorii de transport rutier vizaț</w:t>
      </w:r>
      <w:r w:rsidR="00471F51" w:rsidRPr="00F54FFA">
        <w:rPr>
          <w:lang w:val="ro-RO"/>
        </w:rPr>
        <w:t>i au fost strict atenționați în vederea respectă</w:t>
      </w:r>
      <w:r w:rsidRPr="00F54FFA">
        <w:rPr>
          <w:lang w:val="ro-RO"/>
        </w:rPr>
        <w:t>rii exacte și uniforme a obligațiilor impuse de Codul transporturilor rutiere și alte acte normative din domeniul transporturilor, precum și neadmiterea pe viito</w:t>
      </w:r>
      <w:r w:rsidR="00471F51" w:rsidRPr="00F54FFA">
        <w:rPr>
          <w:lang w:val="ro-RO"/>
        </w:rPr>
        <w:t>r</w:t>
      </w:r>
      <w:r w:rsidRPr="00F54FFA">
        <w:rPr>
          <w:lang w:val="ro-RO"/>
        </w:rPr>
        <w:t xml:space="preserve"> a unor astfel de încălcări.</w:t>
      </w:r>
    </w:p>
    <w:p w:rsidR="00290348" w:rsidRPr="00F54FFA" w:rsidRDefault="00290348" w:rsidP="00F54FFA">
      <w:pPr>
        <w:ind w:firstLine="720"/>
        <w:jc w:val="both"/>
        <w:rPr>
          <w:lang w:val="ro-RO"/>
        </w:rPr>
      </w:pPr>
    </w:p>
    <w:p w:rsidR="00E47E19" w:rsidRPr="00F54FFA" w:rsidRDefault="002A141F" w:rsidP="00F54FFA">
      <w:pPr>
        <w:ind w:firstLine="720"/>
        <w:jc w:val="both"/>
        <w:rPr>
          <w:lang w:val="ro-MD"/>
        </w:rPr>
      </w:pPr>
      <w:proofErr w:type="spellStart"/>
      <w:r>
        <w:rPr>
          <w:bCs/>
          <w:lang w:val="ro-RO"/>
        </w:rPr>
        <w:t>Suplimentar,menționăm</w:t>
      </w:r>
      <w:proofErr w:type="spellEnd"/>
      <w:r>
        <w:rPr>
          <w:bCs/>
          <w:lang w:val="ro-RO"/>
        </w:rPr>
        <w:t xml:space="preserve"> că î</w:t>
      </w:r>
      <w:r w:rsidR="00E47E19" w:rsidRPr="00F54FFA">
        <w:rPr>
          <w:lang w:val="ro-MD"/>
        </w:rPr>
        <w:t>n timpul controalelor planificate și inopinate efectuate de către subdiviziunile teritoriale a IPM sunt verificate condițiile de păstrare temporară a deșeurilor de ambalaje pe teritoriul întreprinderii și sunt solicitate prezentarea contractelor încheiate c</w:t>
      </w:r>
      <w:r>
        <w:rPr>
          <w:lang w:val="ro-MD"/>
        </w:rPr>
        <w:t>u agenții economici autorizați î</w:t>
      </w:r>
      <w:r w:rsidR="00E47E19" w:rsidRPr="00F54FFA">
        <w:rPr>
          <w:lang w:val="ro-MD"/>
        </w:rPr>
        <w:t>n domeniul colectării și prelucrării deșeurilor. In cazul depistării încălcărilor de gestionare a deșeurilor, lipsa contractelor pentru predarea deșeurilor formate, în privința persoanelor responsabile de aceste încălcări sunt încheiate procese-verbale în conformitate cu prevederile Codului contravențional al RM.</w:t>
      </w:r>
      <w:r w:rsidR="005C2282">
        <w:rPr>
          <w:lang w:val="ro-MD"/>
        </w:rPr>
        <w:t xml:space="preserve"> Astfel, î</w:t>
      </w:r>
      <w:r w:rsidR="00E47E19" w:rsidRPr="00F54FFA">
        <w:rPr>
          <w:lang w:val="ro-MD"/>
        </w:rPr>
        <w:t>n privința persoanelor fizice și juridice care au încălcat legislația privind gestionarea deșeurilor au fost încheiate 2040 de procese-verbale cu privire la contravenții.</w:t>
      </w:r>
    </w:p>
    <w:p w:rsidR="00E47E19" w:rsidRPr="00F54FFA" w:rsidRDefault="00E47E19" w:rsidP="00F54FFA">
      <w:pPr>
        <w:ind w:firstLine="720"/>
        <w:jc w:val="both"/>
        <w:rPr>
          <w:lang w:val="ro-MD"/>
        </w:rPr>
      </w:pPr>
      <w:r w:rsidRPr="00F54FFA">
        <w:rPr>
          <w:lang w:val="ro-MD"/>
        </w:rPr>
        <w:t>Concomitent, in timpul controalelor agenții economici sunt informați in vederea obligațiilor respective in domeniul responsabilității extinse a producătorului, a principiului „poluatorul plătește”.</w:t>
      </w:r>
    </w:p>
    <w:p w:rsidR="00E47E19" w:rsidRPr="00F54FFA" w:rsidRDefault="00E47E19" w:rsidP="00F54FFA">
      <w:pPr>
        <w:ind w:firstLine="720"/>
        <w:jc w:val="both"/>
        <w:rPr>
          <w:lang w:val="ro-MD"/>
        </w:rPr>
      </w:pPr>
    </w:p>
    <w:p w:rsidR="00903446" w:rsidRPr="00F54FFA" w:rsidRDefault="00903446" w:rsidP="00F54FFA">
      <w:pPr>
        <w:ind w:firstLine="720"/>
        <w:jc w:val="both"/>
        <w:rPr>
          <w:lang w:val="ro-RO"/>
        </w:rPr>
      </w:pPr>
    </w:p>
    <w:p w:rsidR="003A50AD" w:rsidRPr="00F54FFA" w:rsidRDefault="003A50AD" w:rsidP="00F54FFA">
      <w:pPr>
        <w:ind w:firstLine="720"/>
        <w:jc w:val="both"/>
        <w:rPr>
          <w:b/>
          <w:bCs/>
          <w:lang w:val="ro-RO"/>
        </w:rPr>
      </w:pPr>
      <w:r w:rsidRPr="00F54FFA">
        <w:rPr>
          <w:b/>
          <w:bCs/>
          <w:lang w:val="ro-RO"/>
        </w:rPr>
        <w:br w:type="page"/>
      </w:r>
    </w:p>
    <w:p w:rsidR="0065583F" w:rsidRPr="00866277" w:rsidRDefault="0065583F" w:rsidP="00D21B0A">
      <w:pPr>
        <w:ind w:firstLine="288"/>
        <w:jc w:val="center"/>
        <w:rPr>
          <w:b/>
          <w:bCs/>
          <w:lang w:val="ro-RO"/>
        </w:rPr>
      </w:pPr>
      <w:r w:rsidRPr="00866277">
        <w:rPr>
          <w:b/>
          <w:bCs/>
          <w:lang w:val="ro-RO"/>
        </w:rPr>
        <w:lastRenderedPageBreak/>
        <w:t xml:space="preserve">III. CREŞTEREA CAPACITĂŢII DECIZIONALE A CONSUMATORULUI </w:t>
      </w:r>
    </w:p>
    <w:p w:rsidR="0065583F" w:rsidRPr="00866277" w:rsidRDefault="0065583F" w:rsidP="004F46B7">
      <w:pPr>
        <w:spacing w:after="240"/>
        <w:ind w:firstLine="288"/>
        <w:jc w:val="center"/>
        <w:rPr>
          <w:b/>
          <w:bCs/>
          <w:lang w:val="ro-RO"/>
        </w:rPr>
      </w:pPr>
      <w:r w:rsidRPr="00866277">
        <w:rPr>
          <w:b/>
          <w:bCs/>
          <w:lang w:val="ro-RO"/>
        </w:rPr>
        <w:t>PRIN EDUCAREA ŞI INFORMAREA ACESTUIA</w:t>
      </w:r>
    </w:p>
    <w:p w:rsidR="0065583F" w:rsidRPr="00866277" w:rsidRDefault="0065583F" w:rsidP="00001855">
      <w:pPr>
        <w:ind w:firstLine="720"/>
        <w:jc w:val="both"/>
        <w:rPr>
          <w:rFonts w:eastAsia="Times New Roman"/>
          <w:b/>
          <w:bCs/>
          <w:lang w:val="ro-RO"/>
        </w:rPr>
      </w:pPr>
      <w:r w:rsidRPr="00866277">
        <w:rPr>
          <w:rFonts w:eastAsia="Times New Roman"/>
          <w:b/>
          <w:bCs/>
          <w:lang w:val="ro-RO"/>
        </w:rPr>
        <w:t>3.1. I</w:t>
      </w:r>
      <w:r w:rsidRPr="00866277">
        <w:rPr>
          <w:b/>
          <w:bCs/>
          <w:lang w:val="ro-RO"/>
        </w:rPr>
        <w:t xml:space="preserve">nformarea cu privire la produse </w:t>
      </w:r>
      <w:proofErr w:type="spellStart"/>
      <w:r w:rsidRPr="00866277">
        <w:rPr>
          <w:b/>
          <w:bCs/>
          <w:lang w:val="ro-RO"/>
        </w:rPr>
        <w:t>şi</w:t>
      </w:r>
      <w:proofErr w:type="spellEnd"/>
      <w:r w:rsidRPr="00866277">
        <w:rPr>
          <w:b/>
          <w:bCs/>
          <w:lang w:val="ro-RO"/>
        </w:rPr>
        <w:t xml:space="preserve"> servicii, la drepturi </w:t>
      </w:r>
      <w:proofErr w:type="spellStart"/>
      <w:r w:rsidRPr="00866277">
        <w:rPr>
          <w:b/>
          <w:bCs/>
          <w:lang w:val="ro-RO"/>
        </w:rPr>
        <w:t>şi</w:t>
      </w:r>
      <w:proofErr w:type="spellEnd"/>
      <w:r w:rsidRPr="00866277">
        <w:rPr>
          <w:b/>
          <w:bCs/>
          <w:lang w:val="ro-RO"/>
        </w:rPr>
        <w:t xml:space="preserve"> </w:t>
      </w:r>
      <w:r w:rsidR="00DF663F" w:rsidRPr="00866277">
        <w:rPr>
          <w:b/>
          <w:bCs/>
          <w:lang w:val="ro-RO"/>
        </w:rPr>
        <w:t>obligații</w:t>
      </w:r>
      <w:r w:rsidRPr="00866277">
        <w:rPr>
          <w:b/>
          <w:bCs/>
          <w:lang w:val="ro-RO"/>
        </w:rPr>
        <w:t xml:space="preserve"> </w:t>
      </w:r>
      <w:proofErr w:type="spellStart"/>
      <w:r w:rsidRPr="00866277">
        <w:rPr>
          <w:b/>
          <w:bCs/>
          <w:lang w:val="ro-RO"/>
        </w:rPr>
        <w:t>şi</w:t>
      </w:r>
      <w:proofErr w:type="spellEnd"/>
      <w:r w:rsidRPr="00866277">
        <w:rPr>
          <w:b/>
          <w:bCs/>
          <w:lang w:val="ro-RO"/>
        </w:rPr>
        <w:t xml:space="preserve"> la măsuri reparatorii</w:t>
      </w:r>
    </w:p>
    <w:p w:rsidR="00903446" w:rsidRPr="00866277" w:rsidRDefault="006B1AD9" w:rsidP="00001855">
      <w:pPr>
        <w:ind w:firstLine="720"/>
        <w:jc w:val="both"/>
        <w:rPr>
          <w:lang w:val="ro-RO"/>
        </w:rPr>
      </w:pPr>
      <w:r w:rsidRPr="00866277">
        <w:rPr>
          <w:lang w:val="ro-RO"/>
        </w:rPr>
        <w:t>În cadrul acțiunii (</w:t>
      </w:r>
      <w:r w:rsidR="00D21B0A" w:rsidRPr="00866277">
        <w:rPr>
          <w:b/>
          <w:lang w:val="ro-RO"/>
        </w:rPr>
        <w:t xml:space="preserve">pct. </w:t>
      </w:r>
      <w:r w:rsidRPr="00866277">
        <w:rPr>
          <w:b/>
          <w:lang w:val="ro-RO"/>
        </w:rPr>
        <w:t>3.1.1</w:t>
      </w:r>
      <w:r w:rsidRPr="00866277">
        <w:rPr>
          <w:lang w:val="ro-RO"/>
        </w:rPr>
        <w:t xml:space="preserve">) privind organizarea </w:t>
      </w:r>
      <w:proofErr w:type="spellStart"/>
      <w:r w:rsidRPr="00866277">
        <w:rPr>
          <w:lang w:val="ro-RO"/>
        </w:rPr>
        <w:t>şi</w:t>
      </w:r>
      <w:proofErr w:type="spellEnd"/>
      <w:r w:rsidRPr="00866277">
        <w:rPr>
          <w:lang w:val="ro-RO"/>
        </w:rPr>
        <w:t xml:space="preserve"> desfășurarea activităților consacrate Zilei mondiale a protecției drepturilor consumatorilor</w:t>
      </w:r>
      <w:r w:rsidR="003E5D24" w:rsidRPr="00866277">
        <w:rPr>
          <w:lang w:val="ro-RO"/>
        </w:rPr>
        <w:t xml:space="preserve"> (ZMPDC) care se marchează anual pe data de </w:t>
      </w:r>
      <w:r w:rsidRPr="00866277">
        <w:rPr>
          <w:lang w:val="ro-RO"/>
        </w:rPr>
        <w:t>15 martie</w:t>
      </w:r>
      <w:r w:rsidR="00F50915">
        <w:rPr>
          <w:lang w:val="ro-RO"/>
        </w:rPr>
        <w:t>, evidențiem următoarele</w:t>
      </w:r>
      <w:r w:rsidR="000B090F" w:rsidRPr="00866277">
        <w:rPr>
          <w:lang w:val="ro-RO"/>
        </w:rPr>
        <w:t>.</w:t>
      </w:r>
      <w:r w:rsidRPr="00866277">
        <w:rPr>
          <w:lang w:val="ro-RO"/>
        </w:rPr>
        <w:t xml:space="preserve"> </w:t>
      </w:r>
    </w:p>
    <w:p w:rsidR="00903446" w:rsidRPr="00866277" w:rsidRDefault="00903446" w:rsidP="00D1202A">
      <w:pPr>
        <w:tabs>
          <w:tab w:val="left" w:pos="34"/>
        </w:tabs>
        <w:ind w:firstLine="720"/>
        <w:jc w:val="both"/>
      </w:pPr>
      <w:r w:rsidRPr="00866277">
        <w:rPr>
          <w:lang w:val="ro-RO"/>
        </w:rPr>
        <w:t xml:space="preserve">Organizarea evenimentului consacrat </w:t>
      </w:r>
      <w:r w:rsidRPr="00F50915">
        <w:rPr>
          <w:i/>
          <w:lang w:val="ro-RO"/>
        </w:rPr>
        <w:t>Zilei mondiale a protecției drepturilor consumatorilor</w:t>
      </w:r>
      <w:r w:rsidRPr="00866277">
        <w:rPr>
          <w:lang w:val="ro-RO"/>
        </w:rPr>
        <w:t xml:space="preserve"> a avut drept scop sensibilizarea publicului, asigurarea cunoștințelor necesare consumatorilor și dezvoltarea capacității lor decizionale la procurarea produselor </w:t>
      </w:r>
      <w:proofErr w:type="spellStart"/>
      <w:r w:rsidRPr="00866277">
        <w:rPr>
          <w:lang w:val="ro-RO"/>
        </w:rPr>
        <w:t>Smart</w:t>
      </w:r>
      <w:proofErr w:type="spellEnd"/>
      <w:r w:rsidRPr="00866277">
        <w:rPr>
          <w:lang w:val="ro-RO"/>
        </w:rPr>
        <w:t xml:space="preserve"> sigure.</w:t>
      </w:r>
      <w:r w:rsidR="00F50915">
        <w:rPr>
          <w:lang w:val="ro-RO"/>
        </w:rPr>
        <w:t xml:space="preserve"> </w:t>
      </w:r>
      <w:r w:rsidRPr="00866277">
        <w:t xml:space="preserve">Cu </w:t>
      </w:r>
      <w:proofErr w:type="spellStart"/>
      <w:r w:rsidRPr="00866277">
        <w:t>această</w:t>
      </w:r>
      <w:proofErr w:type="spellEnd"/>
      <w:r w:rsidRPr="00866277">
        <w:t xml:space="preserve"> </w:t>
      </w:r>
      <w:proofErr w:type="spellStart"/>
      <w:r w:rsidRPr="00866277">
        <w:t>ocazie</w:t>
      </w:r>
      <w:proofErr w:type="spellEnd"/>
      <w:r w:rsidRPr="00866277">
        <w:t xml:space="preserve"> au </w:t>
      </w:r>
      <w:proofErr w:type="spellStart"/>
      <w:r w:rsidRPr="00866277">
        <w:t>fost</w:t>
      </w:r>
      <w:proofErr w:type="spellEnd"/>
      <w:r w:rsidRPr="00866277">
        <w:t xml:space="preserve"> </w:t>
      </w:r>
      <w:proofErr w:type="spellStart"/>
      <w:r w:rsidRPr="00866277">
        <w:t>desfășurate</w:t>
      </w:r>
      <w:proofErr w:type="spellEnd"/>
      <w:r w:rsidRPr="00866277">
        <w:t xml:space="preserve"> </w:t>
      </w:r>
      <w:proofErr w:type="gramStart"/>
      <w:r w:rsidRPr="00866277">
        <w:t>un</w:t>
      </w:r>
      <w:proofErr w:type="gramEnd"/>
      <w:r w:rsidRPr="00866277">
        <w:t xml:space="preserve"> </w:t>
      </w:r>
      <w:proofErr w:type="spellStart"/>
      <w:r w:rsidRPr="00866277">
        <w:t>șir</w:t>
      </w:r>
      <w:proofErr w:type="spellEnd"/>
      <w:r w:rsidRPr="00866277">
        <w:t xml:space="preserve"> de </w:t>
      </w:r>
      <w:proofErr w:type="spellStart"/>
      <w:r w:rsidRPr="00866277">
        <w:t>activități</w:t>
      </w:r>
      <w:proofErr w:type="spellEnd"/>
      <w:r w:rsidRPr="00866277">
        <w:t>:</w:t>
      </w:r>
    </w:p>
    <w:p w:rsidR="00903446" w:rsidRPr="00F50915" w:rsidRDefault="00903446" w:rsidP="00D1202A">
      <w:pPr>
        <w:pStyle w:val="ListParagraph"/>
        <w:numPr>
          <w:ilvl w:val="0"/>
          <w:numId w:val="28"/>
        </w:numPr>
        <w:spacing w:after="0" w:line="240" w:lineRule="auto"/>
        <w:ind w:left="0" w:firstLine="720"/>
        <w:contextualSpacing w:val="0"/>
        <w:jc w:val="both"/>
        <w:rPr>
          <w:rFonts w:ascii="Times New Roman" w:hAnsi="Times New Roman"/>
          <w:sz w:val="24"/>
          <w:szCs w:val="24"/>
          <w:lang w:val="ro-RO"/>
        </w:rPr>
      </w:pPr>
      <w:proofErr w:type="spellStart"/>
      <w:r w:rsidRPr="00F50915">
        <w:rPr>
          <w:rFonts w:ascii="Times New Roman" w:hAnsi="Times New Roman"/>
          <w:sz w:val="24"/>
          <w:szCs w:val="24"/>
        </w:rPr>
        <w:t>campania</w:t>
      </w:r>
      <w:proofErr w:type="spellEnd"/>
      <w:r w:rsidRPr="00F50915">
        <w:rPr>
          <w:rFonts w:ascii="Times New Roman" w:hAnsi="Times New Roman"/>
          <w:sz w:val="24"/>
          <w:szCs w:val="24"/>
        </w:rPr>
        <w:t xml:space="preserve"> de </w:t>
      </w:r>
      <w:proofErr w:type="spellStart"/>
      <w:r w:rsidRPr="00F50915">
        <w:rPr>
          <w:rFonts w:ascii="Times New Roman" w:hAnsi="Times New Roman"/>
          <w:sz w:val="24"/>
          <w:szCs w:val="24"/>
        </w:rPr>
        <w:t>informare</w:t>
      </w:r>
      <w:proofErr w:type="spellEnd"/>
      <w:r w:rsidRPr="00F50915">
        <w:rPr>
          <w:rFonts w:ascii="Times New Roman" w:hAnsi="Times New Roman"/>
          <w:sz w:val="24"/>
          <w:szCs w:val="24"/>
        </w:rPr>
        <w:t xml:space="preserve"> </w:t>
      </w:r>
      <w:proofErr w:type="spellStart"/>
      <w:r w:rsidRPr="00F50915">
        <w:rPr>
          <w:rFonts w:ascii="Times New Roman" w:hAnsi="Times New Roman"/>
          <w:sz w:val="24"/>
          <w:szCs w:val="24"/>
        </w:rPr>
        <w:t>dedicată</w:t>
      </w:r>
      <w:proofErr w:type="spellEnd"/>
      <w:r w:rsidRPr="00F50915">
        <w:rPr>
          <w:rFonts w:ascii="Times New Roman" w:hAnsi="Times New Roman"/>
          <w:sz w:val="24"/>
          <w:szCs w:val="24"/>
        </w:rPr>
        <w:t xml:space="preserve"> </w:t>
      </w:r>
      <w:proofErr w:type="spellStart"/>
      <w:r w:rsidRPr="00F50915">
        <w:rPr>
          <w:rFonts w:ascii="Times New Roman" w:hAnsi="Times New Roman"/>
          <w:sz w:val="24"/>
          <w:szCs w:val="24"/>
        </w:rPr>
        <w:t>evenimentului</w:t>
      </w:r>
      <w:proofErr w:type="spellEnd"/>
      <w:r w:rsidRPr="00F50915">
        <w:rPr>
          <w:rFonts w:ascii="Times New Roman" w:hAnsi="Times New Roman"/>
          <w:sz w:val="24"/>
          <w:szCs w:val="24"/>
        </w:rPr>
        <w:t xml:space="preserve"> „</w:t>
      </w:r>
      <w:r w:rsidRPr="00F50915">
        <w:rPr>
          <w:rFonts w:ascii="Times New Roman" w:hAnsi="Times New Roman"/>
          <w:i/>
          <w:sz w:val="24"/>
          <w:szCs w:val="24"/>
          <w:lang w:val="ro-RO"/>
        </w:rPr>
        <w:t xml:space="preserve">Produse </w:t>
      </w:r>
      <w:proofErr w:type="spellStart"/>
      <w:r w:rsidRPr="00F50915">
        <w:rPr>
          <w:rFonts w:ascii="Times New Roman" w:hAnsi="Times New Roman"/>
          <w:i/>
          <w:sz w:val="24"/>
          <w:szCs w:val="24"/>
          <w:lang w:val="ro-RO"/>
        </w:rPr>
        <w:t>Smart</w:t>
      </w:r>
      <w:proofErr w:type="spellEnd"/>
      <w:r w:rsidRPr="00F50915">
        <w:rPr>
          <w:rFonts w:ascii="Times New Roman" w:hAnsi="Times New Roman"/>
          <w:i/>
          <w:sz w:val="24"/>
          <w:szCs w:val="24"/>
          <w:lang w:val="ro-RO"/>
        </w:rPr>
        <w:t xml:space="preserve"> de Încredere</w:t>
      </w:r>
      <w:r w:rsidRPr="00F50915">
        <w:rPr>
          <w:rFonts w:ascii="Times New Roman" w:hAnsi="Times New Roman"/>
          <w:sz w:val="24"/>
          <w:szCs w:val="24"/>
          <w:lang w:val="ro-RO"/>
        </w:rPr>
        <w:t>;</w:t>
      </w:r>
    </w:p>
    <w:p w:rsidR="00903446" w:rsidRPr="00F50915" w:rsidRDefault="00903446" w:rsidP="00D1202A">
      <w:pPr>
        <w:pStyle w:val="ListParagraph"/>
        <w:numPr>
          <w:ilvl w:val="0"/>
          <w:numId w:val="28"/>
        </w:numPr>
        <w:tabs>
          <w:tab w:val="left" w:pos="34"/>
          <w:tab w:val="left" w:pos="176"/>
        </w:tabs>
        <w:spacing w:after="0" w:line="240" w:lineRule="auto"/>
        <w:ind w:left="0" w:firstLine="720"/>
        <w:contextualSpacing w:val="0"/>
        <w:jc w:val="both"/>
        <w:rPr>
          <w:rFonts w:ascii="Times New Roman" w:hAnsi="Times New Roman"/>
          <w:bCs/>
          <w:kern w:val="36"/>
          <w:sz w:val="24"/>
          <w:szCs w:val="24"/>
          <w:lang w:val="ro-RO"/>
        </w:rPr>
      </w:pPr>
      <w:r w:rsidRPr="00F50915">
        <w:rPr>
          <w:rFonts w:ascii="Times New Roman" w:hAnsi="Times New Roman"/>
          <w:bCs/>
          <w:kern w:val="36"/>
          <w:sz w:val="24"/>
          <w:szCs w:val="24"/>
          <w:lang w:val="ro-RO"/>
        </w:rPr>
        <w:t>27 vizite de consultanță</w:t>
      </w:r>
      <w:r w:rsidR="00F50915">
        <w:rPr>
          <w:rFonts w:ascii="Times New Roman" w:hAnsi="Times New Roman"/>
          <w:bCs/>
          <w:kern w:val="36"/>
          <w:sz w:val="24"/>
          <w:szCs w:val="24"/>
          <w:lang w:val="ro-RO"/>
        </w:rPr>
        <w:t xml:space="preserve"> desfășurate</w:t>
      </w:r>
      <w:r w:rsidRPr="00F50915">
        <w:rPr>
          <w:rFonts w:ascii="Times New Roman" w:hAnsi="Times New Roman"/>
          <w:bCs/>
          <w:kern w:val="36"/>
          <w:sz w:val="24"/>
          <w:szCs w:val="24"/>
          <w:lang w:val="ro-RO"/>
        </w:rPr>
        <w:t>;</w:t>
      </w:r>
    </w:p>
    <w:p w:rsidR="00903446" w:rsidRPr="00F50915" w:rsidRDefault="00F50915" w:rsidP="00D1202A">
      <w:pPr>
        <w:pStyle w:val="ListParagraph"/>
        <w:numPr>
          <w:ilvl w:val="0"/>
          <w:numId w:val="28"/>
        </w:numPr>
        <w:tabs>
          <w:tab w:val="left" w:pos="34"/>
          <w:tab w:val="left" w:pos="176"/>
        </w:tabs>
        <w:spacing w:after="0" w:line="240" w:lineRule="auto"/>
        <w:ind w:left="0" w:firstLine="720"/>
        <w:contextualSpacing w:val="0"/>
        <w:jc w:val="both"/>
        <w:rPr>
          <w:rFonts w:ascii="Times New Roman" w:hAnsi="Times New Roman"/>
          <w:bCs/>
          <w:kern w:val="36"/>
          <w:sz w:val="24"/>
          <w:szCs w:val="24"/>
          <w:lang w:val="ro-RO"/>
        </w:rPr>
      </w:pPr>
      <w:r>
        <w:rPr>
          <w:rFonts w:ascii="Times New Roman" w:hAnsi="Times New Roman"/>
          <w:sz w:val="24"/>
          <w:szCs w:val="24"/>
          <w:lang w:val="ro-RO"/>
        </w:rPr>
        <w:t xml:space="preserve">au fost </w:t>
      </w:r>
      <w:r w:rsidR="00903446" w:rsidRPr="00F50915">
        <w:rPr>
          <w:rFonts w:ascii="Times New Roman" w:hAnsi="Times New Roman"/>
          <w:sz w:val="24"/>
          <w:szCs w:val="24"/>
          <w:lang w:val="ro-RO"/>
        </w:rPr>
        <w:t>înregistrate 19 apariții media (5 emisiuni și 14 interviuri);</w:t>
      </w:r>
    </w:p>
    <w:p w:rsidR="00903446" w:rsidRPr="00F50915" w:rsidRDefault="00903446" w:rsidP="004338BD">
      <w:pPr>
        <w:pStyle w:val="ListParagraph"/>
        <w:numPr>
          <w:ilvl w:val="0"/>
          <w:numId w:val="28"/>
        </w:numPr>
        <w:tabs>
          <w:tab w:val="left" w:pos="317"/>
          <w:tab w:val="left" w:pos="360"/>
          <w:tab w:val="left" w:pos="1440"/>
        </w:tabs>
        <w:spacing w:after="0" w:line="240" w:lineRule="auto"/>
        <w:ind w:left="0" w:firstLine="720"/>
        <w:contextualSpacing w:val="0"/>
        <w:jc w:val="both"/>
        <w:rPr>
          <w:rFonts w:ascii="Times New Roman" w:hAnsi="Times New Roman"/>
          <w:sz w:val="24"/>
          <w:szCs w:val="24"/>
          <w:lang w:val="ro-RO"/>
        </w:rPr>
      </w:pPr>
      <w:r w:rsidRPr="00F50915">
        <w:rPr>
          <w:rFonts w:ascii="Times New Roman" w:hAnsi="Times New Roman"/>
          <w:sz w:val="24"/>
          <w:szCs w:val="24"/>
          <w:lang w:val="ro-RO"/>
        </w:rPr>
        <w:t xml:space="preserve">elaborate și difuzate </w:t>
      </w:r>
      <w:r w:rsidRPr="00F50915">
        <w:rPr>
          <w:rFonts w:ascii="Times New Roman" w:hAnsi="Times New Roman"/>
          <w:bCs/>
          <w:kern w:val="36"/>
          <w:sz w:val="24"/>
          <w:szCs w:val="24"/>
          <w:lang w:val="ro-RO"/>
        </w:rPr>
        <w:t>3451 materiale</w:t>
      </w:r>
      <w:r w:rsidRPr="00F50915">
        <w:rPr>
          <w:rFonts w:ascii="Times New Roman" w:hAnsi="Times New Roman"/>
          <w:b/>
          <w:bCs/>
          <w:kern w:val="36"/>
          <w:sz w:val="24"/>
          <w:szCs w:val="24"/>
          <w:lang w:val="ro-RO"/>
        </w:rPr>
        <w:t xml:space="preserve"> </w:t>
      </w:r>
      <w:r w:rsidRPr="00F50915">
        <w:rPr>
          <w:rFonts w:ascii="Times New Roman" w:hAnsi="Times New Roman"/>
          <w:bCs/>
          <w:kern w:val="36"/>
          <w:sz w:val="24"/>
          <w:szCs w:val="24"/>
          <w:lang w:val="ro-RO"/>
        </w:rPr>
        <w:t>informaționale (pliante, fișe informaționale cu numărul  de telefon al consumatorului, materiale promoționale);</w:t>
      </w:r>
    </w:p>
    <w:p w:rsidR="00903446" w:rsidRPr="00F50915" w:rsidRDefault="00903446" w:rsidP="004338BD">
      <w:pPr>
        <w:pStyle w:val="ListParagraph"/>
        <w:numPr>
          <w:ilvl w:val="0"/>
          <w:numId w:val="28"/>
        </w:numPr>
        <w:tabs>
          <w:tab w:val="left" w:pos="317"/>
          <w:tab w:val="left" w:pos="360"/>
          <w:tab w:val="left" w:pos="1440"/>
        </w:tabs>
        <w:spacing w:after="0" w:line="240" w:lineRule="auto"/>
        <w:ind w:left="0" w:firstLine="720"/>
        <w:contextualSpacing w:val="0"/>
        <w:jc w:val="both"/>
        <w:rPr>
          <w:rFonts w:ascii="Times New Roman" w:hAnsi="Times New Roman"/>
          <w:sz w:val="24"/>
          <w:szCs w:val="24"/>
          <w:lang w:val="ro-RO"/>
        </w:rPr>
      </w:pPr>
      <w:r w:rsidRPr="00F50915">
        <w:rPr>
          <w:rFonts w:ascii="Times New Roman" w:hAnsi="Times New Roman"/>
          <w:sz w:val="24"/>
          <w:szCs w:val="24"/>
          <w:lang w:val="ro-RO"/>
        </w:rPr>
        <w:t>spotul publicitar cu istoricul și realizările Agenției, bannerul cu datele de contact.</w:t>
      </w:r>
    </w:p>
    <w:p w:rsidR="00903446" w:rsidRPr="00F50915" w:rsidRDefault="00903446" w:rsidP="00D1202A">
      <w:pPr>
        <w:pStyle w:val="ListParagraph"/>
        <w:numPr>
          <w:ilvl w:val="0"/>
          <w:numId w:val="28"/>
        </w:numPr>
        <w:tabs>
          <w:tab w:val="left" w:pos="34"/>
          <w:tab w:val="left" w:pos="176"/>
        </w:tabs>
        <w:spacing w:after="0" w:line="240" w:lineRule="auto"/>
        <w:ind w:left="0" w:firstLine="720"/>
        <w:contextualSpacing w:val="0"/>
        <w:jc w:val="both"/>
        <w:rPr>
          <w:rFonts w:ascii="Times New Roman" w:hAnsi="Times New Roman"/>
          <w:bCs/>
          <w:kern w:val="36"/>
          <w:sz w:val="24"/>
          <w:szCs w:val="24"/>
          <w:lang w:val="ro-RO"/>
        </w:rPr>
      </w:pPr>
      <w:r w:rsidRPr="00F50915">
        <w:rPr>
          <w:rFonts w:ascii="Times New Roman" w:hAnsi="Times New Roman"/>
          <w:bCs/>
          <w:kern w:val="36"/>
          <w:sz w:val="24"/>
          <w:szCs w:val="24"/>
          <w:lang w:val="ro-RO"/>
        </w:rPr>
        <w:t>conferința de presă dedicată evenimentului.</w:t>
      </w:r>
    </w:p>
    <w:p w:rsidR="00903446" w:rsidRPr="00866277" w:rsidRDefault="00903446" w:rsidP="00D1202A">
      <w:pPr>
        <w:tabs>
          <w:tab w:val="left" w:pos="0"/>
          <w:tab w:val="left" w:pos="34"/>
          <w:tab w:val="left" w:pos="176"/>
        </w:tabs>
        <w:ind w:firstLine="720"/>
        <w:jc w:val="both"/>
        <w:rPr>
          <w:bCs/>
          <w:kern w:val="36"/>
          <w:lang w:val="ro-RO"/>
        </w:rPr>
      </w:pPr>
      <w:r w:rsidRPr="00866277">
        <w:rPr>
          <w:bCs/>
          <w:kern w:val="36"/>
          <w:lang w:val="ro-RO"/>
        </w:rPr>
        <w:t>În cadrul evenimentului au</w:t>
      </w:r>
      <w:r w:rsidRPr="00866277">
        <w:rPr>
          <w:b/>
          <w:bCs/>
          <w:kern w:val="36"/>
          <w:lang w:val="ro-RO"/>
        </w:rPr>
        <w:t xml:space="preserve"> </w:t>
      </w:r>
      <w:r w:rsidRPr="00866277">
        <w:rPr>
          <w:bCs/>
          <w:kern w:val="36"/>
          <w:lang w:val="ro-RO"/>
        </w:rPr>
        <w:t xml:space="preserve">participat 1305 persoane </w:t>
      </w:r>
      <w:r w:rsidRPr="00D1202A">
        <w:rPr>
          <w:bCs/>
          <w:kern w:val="36"/>
          <w:lang w:val="ro-RO"/>
        </w:rPr>
        <w:t>(808 consumatori, 10 reprezentanți media, 7 invitați de peste hotare; România-4, Ucraina, Armenia și Franța, 205 agenți economici,166 reprezentanți ai mediului de afaceri, 20 reprezentanți ai ministerelor și asociațiilor, autorităților de protecție a consumatorilor,80 participanți din mediul academic).</w:t>
      </w:r>
    </w:p>
    <w:p w:rsidR="00903446" w:rsidRPr="00866277" w:rsidRDefault="00903446" w:rsidP="00D1202A">
      <w:pPr>
        <w:ind w:firstLine="720"/>
        <w:jc w:val="both"/>
        <w:rPr>
          <w:lang w:val="ro-RO"/>
        </w:rPr>
      </w:pPr>
      <w:r w:rsidRPr="00866277">
        <w:rPr>
          <w:lang w:val="ro-RO"/>
        </w:rPr>
        <w:t xml:space="preserve">Acțiunile desfășurate au fost mediatizate în 10 surse media (Publica TV, Canal 3, Pro TV, Moldova 1, TVR Moldova, RTR, Televiziunea centrală Orhei TV, Radio Moldova, Vocea Basarabiei, Radio Europa Liberă). </w:t>
      </w:r>
    </w:p>
    <w:p w:rsidR="00903446" w:rsidRPr="00866277" w:rsidRDefault="00903446" w:rsidP="00D21B0A">
      <w:pPr>
        <w:ind w:firstLine="720"/>
        <w:jc w:val="both"/>
        <w:rPr>
          <w:rFonts w:eastAsia="Times New Roman"/>
          <w:bCs/>
          <w:i/>
          <w:lang w:val="ro-RO"/>
        </w:rPr>
      </w:pPr>
    </w:p>
    <w:p w:rsidR="00D21B0A" w:rsidRPr="00866277" w:rsidRDefault="00D21B0A" w:rsidP="00001855">
      <w:pPr>
        <w:widowControl w:val="0"/>
        <w:autoSpaceDE w:val="0"/>
        <w:autoSpaceDN w:val="0"/>
        <w:adjustRightInd w:val="0"/>
        <w:ind w:firstLine="720"/>
        <w:jc w:val="both"/>
        <w:rPr>
          <w:rFonts w:eastAsia="Times New Roman"/>
          <w:lang w:val="ro-RO"/>
        </w:rPr>
      </w:pPr>
      <w:r w:rsidRPr="00866277">
        <w:rPr>
          <w:rFonts w:eastAsia="Times New Roman"/>
          <w:lang w:val="ro-RO"/>
        </w:rPr>
        <w:t xml:space="preserve">În vederea aducerii la cunoștința publicului larg a informației cu privire la deciziile importante adoptate cu impact asupra consumatorilor </w:t>
      </w:r>
      <w:r w:rsidRPr="00866277">
        <w:rPr>
          <w:lang w:val="ro-RO"/>
        </w:rPr>
        <w:t>(</w:t>
      </w:r>
      <w:r w:rsidRPr="00866277">
        <w:rPr>
          <w:b/>
          <w:lang w:val="ro-RO"/>
        </w:rPr>
        <w:t>pct. 3.1.2</w:t>
      </w:r>
      <w:r w:rsidRPr="00866277">
        <w:rPr>
          <w:lang w:val="ro-RO"/>
        </w:rPr>
        <w:t>)</w:t>
      </w:r>
      <w:r w:rsidRPr="00866277">
        <w:rPr>
          <w:rFonts w:eastAsia="Times New Roman"/>
          <w:lang w:val="ro-RO"/>
        </w:rPr>
        <w:t>, BNM a publicat următoarele</w:t>
      </w:r>
      <w:r w:rsidR="00261024" w:rsidRPr="00866277">
        <w:rPr>
          <w:lang w:val="ro-RO"/>
        </w:rPr>
        <w:t xml:space="preserve"> informații cu privire la</w:t>
      </w:r>
      <w:r w:rsidRPr="00866277">
        <w:rPr>
          <w:rFonts w:eastAsia="Times New Roman"/>
          <w:lang w:val="ro-RO"/>
        </w:rPr>
        <w:t>:</w:t>
      </w:r>
    </w:p>
    <w:p w:rsidR="00150EDD" w:rsidRPr="00866277" w:rsidRDefault="00150EDD" w:rsidP="00537BE6">
      <w:pPr>
        <w:pStyle w:val="ListParagraph"/>
        <w:numPr>
          <w:ilvl w:val="0"/>
          <w:numId w:val="18"/>
        </w:numPr>
        <w:spacing w:after="0" w:line="240" w:lineRule="auto"/>
        <w:ind w:left="0" w:firstLine="720"/>
        <w:contextualSpacing w:val="0"/>
        <w:jc w:val="both"/>
        <w:rPr>
          <w:rFonts w:ascii="Times New Roman" w:hAnsi="Times New Roman"/>
          <w:sz w:val="24"/>
          <w:szCs w:val="24"/>
          <w:lang w:val="ro-RO"/>
        </w:rPr>
      </w:pPr>
      <w:r w:rsidRPr="00866277">
        <w:rPr>
          <w:rFonts w:ascii="Times New Roman" w:hAnsi="Times New Roman"/>
          <w:sz w:val="24"/>
          <w:szCs w:val="24"/>
          <w:lang w:val="ro-RO"/>
        </w:rPr>
        <w:t>Informația cu privire la sancțiunile aplicate băncilor licențiate, administratorilor și acționarilor ca urmare a activității de supraveghere și monitorizare a acestora;</w:t>
      </w:r>
    </w:p>
    <w:p w:rsidR="00150EDD" w:rsidRPr="00866277" w:rsidRDefault="00150EDD" w:rsidP="00537BE6">
      <w:pPr>
        <w:pStyle w:val="ListParagraph"/>
        <w:numPr>
          <w:ilvl w:val="0"/>
          <w:numId w:val="18"/>
        </w:numPr>
        <w:spacing w:after="0" w:line="240" w:lineRule="auto"/>
        <w:ind w:left="0" w:firstLine="720"/>
        <w:contextualSpacing w:val="0"/>
        <w:jc w:val="both"/>
        <w:rPr>
          <w:rFonts w:ascii="Times New Roman" w:hAnsi="Times New Roman"/>
          <w:sz w:val="24"/>
          <w:szCs w:val="24"/>
          <w:lang w:val="ro-RO"/>
        </w:rPr>
      </w:pPr>
      <w:r w:rsidRPr="00866277">
        <w:rPr>
          <w:rFonts w:ascii="Times New Roman" w:hAnsi="Times New Roman"/>
          <w:sz w:val="24"/>
          <w:szCs w:val="24"/>
          <w:lang w:val="ro-RO"/>
        </w:rPr>
        <w:t>Informația cu privire la sancțiunile aplicate unităților de schimb valutar, care includ informații privind suspendarea / retragerea licențelor / aplicarea și perceperea amenzilor și/sau avertismentelor de către BNM caselor de schimb valutar și hotelurilor pentru efectuarea operațiunilor de schimb valutar în numerar cu persoane fizice, urmare controalelor efectuate de către BNM;</w:t>
      </w:r>
    </w:p>
    <w:p w:rsidR="00D1202A" w:rsidRPr="00D1202A" w:rsidRDefault="00150EDD" w:rsidP="00537BE6">
      <w:pPr>
        <w:pStyle w:val="ListParagraph"/>
        <w:numPr>
          <w:ilvl w:val="0"/>
          <w:numId w:val="18"/>
        </w:numPr>
        <w:spacing w:after="0" w:line="240" w:lineRule="auto"/>
        <w:ind w:left="0" w:firstLine="720"/>
        <w:contextualSpacing w:val="0"/>
        <w:jc w:val="both"/>
        <w:rPr>
          <w:rFonts w:ascii="Times New Roman" w:hAnsi="Times New Roman"/>
          <w:sz w:val="24"/>
          <w:szCs w:val="24"/>
          <w:lang w:val="ro-RO"/>
        </w:rPr>
      </w:pPr>
      <w:r w:rsidRPr="00D1202A">
        <w:rPr>
          <w:rFonts w:ascii="Times New Roman" w:hAnsi="Times New Roman"/>
          <w:sz w:val="24"/>
          <w:szCs w:val="24"/>
          <w:lang w:val="ro-RO"/>
        </w:rPr>
        <w:t xml:space="preserve">Informația cu privire la aplicarea sancțiunilor sub formă  de amendă la 2 prestatori de servicii de plată nebancari. </w:t>
      </w:r>
    </w:p>
    <w:p w:rsidR="00150EDD" w:rsidRPr="00D1202A" w:rsidRDefault="00150EDD" w:rsidP="00537BE6">
      <w:pPr>
        <w:pStyle w:val="ListParagraph"/>
        <w:numPr>
          <w:ilvl w:val="0"/>
          <w:numId w:val="18"/>
        </w:numPr>
        <w:spacing w:after="0" w:line="240" w:lineRule="auto"/>
        <w:ind w:left="0" w:firstLine="720"/>
        <w:contextualSpacing w:val="0"/>
        <w:jc w:val="both"/>
        <w:rPr>
          <w:rFonts w:ascii="Times New Roman" w:hAnsi="Times New Roman"/>
          <w:sz w:val="24"/>
          <w:szCs w:val="24"/>
          <w:lang w:val="ro-RO"/>
        </w:rPr>
      </w:pPr>
      <w:r w:rsidRPr="00D1202A">
        <w:rPr>
          <w:rFonts w:ascii="Times New Roman" w:hAnsi="Times New Roman"/>
          <w:sz w:val="24"/>
          <w:szCs w:val="24"/>
          <w:lang w:val="ro-RO"/>
        </w:rPr>
        <w:t>Comunicat pentru informarea utilizatorilor serviciilor de plată, privind modificările aduse la tarifele maxime admisibile pentru operațiunile de plată procesate prin Sistemul Automatizat de Plăți Interbancare, reglementate prin prevederile Hotărârii Comitetului executiv al BNM nr. 180 din 27.06.2019, precum și informarea aferentă drepturilor lor în caz că nu sunt respectate condițiile de transparență a tarifelor aplicate.</w:t>
      </w:r>
    </w:p>
    <w:p w:rsidR="00150EDD" w:rsidRPr="00866277" w:rsidRDefault="00150EDD" w:rsidP="00537BE6">
      <w:pPr>
        <w:ind w:firstLine="720"/>
        <w:jc w:val="both"/>
        <w:rPr>
          <w:rFonts w:eastAsia="Times New Roman"/>
          <w:lang w:val="ro-RO"/>
        </w:rPr>
      </w:pPr>
    </w:p>
    <w:p w:rsidR="00903446" w:rsidRPr="00866277" w:rsidRDefault="00D1202A" w:rsidP="00D1202A">
      <w:pPr>
        <w:ind w:firstLine="720"/>
        <w:jc w:val="both"/>
        <w:rPr>
          <w:lang w:val="ro-RO"/>
        </w:rPr>
      </w:pPr>
      <w:r>
        <w:rPr>
          <w:lang w:val="ro-RO"/>
        </w:rPr>
        <w:t>Campaniile i</w:t>
      </w:r>
      <w:r w:rsidR="00F3402A" w:rsidRPr="00866277">
        <w:rPr>
          <w:lang w:val="ro-RO"/>
        </w:rPr>
        <w:t>nformaționale</w:t>
      </w:r>
      <w:r w:rsidR="00D21B0A" w:rsidRPr="00866277">
        <w:rPr>
          <w:lang w:val="ro-RO"/>
        </w:rPr>
        <w:t xml:space="preserve">, inclusiv prin intermediul mass-mediei, distribuirea materialelor </w:t>
      </w:r>
      <w:r w:rsidR="00F3402A" w:rsidRPr="00866277">
        <w:rPr>
          <w:lang w:val="ro-RO"/>
        </w:rPr>
        <w:t>informaționale</w:t>
      </w:r>
      <w:r w:rsidR="00D21B0A" w:rsidRPr="00866277">
        <w:rPr>
          <w:lang w:val="ro-RO"/>
        </w:rPr>
        <w:t xml:space="preserve"> (ghiduri, broșuri, pliante) </w:t>
      </w:r>
      <w:proofErr w:type="spellStart"/>
      <w:r w:rsidR="00D21B0A" w:rsidRPr="00866277">
        <w:rPr>
          <w:lang w:val="ro-RO"/>
        </w:rPr>
        <w:t>şi</w:t>
      </w:r>
      <w:proofErr w:type="spellEnd"/>
      <w:r w:rsidR="00D21B0A" w:rsidRPr="00866277">
        <w:rPr>
          <w:lang w:val="ro-RO"/>
        </w:rPr>
        <w:t xml:space="preserve"> utilizarea paginilor electronice (</w:t>
      </w:r>
      <w:r w:rsidR="00D21B0A" w:rsidRPr="00866277">
        <w:rPr>
          <w:b/>
          <w:lang w:val="ro-RO"/>
        </w:rPr>
        <w:t>pct. 3.1.3</w:t>
      </w:r>
      <w:r w:rsidR="00D21B0A" w:rsidRPr="00866277">
        <w:rPr>
          <w:lang w:val="ro-RO"/>
        </w:rPr>
        <w:t xml:space="preserve">) </w:t>
      </w:r>
      <w:r>
        <w:rPr>
          <w:lang w:val="ro-RO"/>
        </w:rPr>
        <w:t>sunt măsuri importante pentru a crește nivelul de cunoștințe a drepturilor și responsabilităților fiecăruia, inclusiv în calitate de consumator. În acest context, p</w:t>
      </w:r>
      <w:r w:rsidR="00903446" w:rsidRPr="00866277">
        <w:rPr>
          <w:bCs/>
          <w:lang w:val="ro-RO"/>
        </w:rPr>
        <w:t>e parcursul  anului 2019, A</w:t>
      </w:r>
      <w:r>
        <w:rPr>
          <w:bCs/>
          <w:lang w:val="ro-RO"/>
        </w:rPr>
        <w:t>PCSP</w:t>
      </w:r>
      <w:r w:rsidR="00903446" w:rsidRPr="00866277">
        <w:rPr>
          <w:bCs/>
          <w:lang w:val="ro-RO"/>
        </w:rPr>
        <w:t xml:space="preserve"> a </w:t>
      </w:r>
      <w:r w:rsidR="00903446" w:rsidRPr="00866277">
        <w:rPr>
          <w:lang w:val="ro-RO"/>
        </w:rPr>
        <w:t>realizat 7 campanii tematice  de informare:</w:t>
      </w:r>
    </w:p>
    <w:p w:rsidR="00903446" w:rsidRPr="00D1202A" w:rsidRDefault="00903446" w:rsidP="00D1202A">
      <w:pPr>
        <w:pStyle w:val="ListParagraph"/>
        <w:numPr>
          <w:ilvl w:val="0"/>
          <w:numId w:val="29"/>
        </w:numPr>
        <w:spacing w:after="0" w:line="240" w:lineRule="auto"/>
        <w:rPr>
          <w:rFonts w:ascii="Times New Roman" w:hAnsi="Times New Roman"/>
          <w:i/>
          <w:sz w:val="24"/>
          <w:szCs w:val="24"/>
        </w:rPr>
      </w:pPr>
      <w:r w:rsidRPr="00D1202A">
        <w:rPr>
          <w:rFonts w:ascii="Times New Roman" w:hAnsi="Times New Roman"/>
          <w:i/>
          <w:sz w:val="24"/>
          <w:szCs w:val="24"/>
        </w:rPr>
        <w:t>„</w:t>
      </w:r>
      <w:proofErr w:type="spellStart"/>
      <w:r w:rsidRPr="00D1202A">
        <w:rPr>
          <w:rFonts w:ascii="Times New Roman" w:hAnsi="Times New Roman"/>
          <w:i/>
          <w:sz w:val="24"/>
          <w:szCs w:val="24"/>
        </w:rPr>
        <w:t>Produse</w:t>
      </w:r>
      <w:proofErr w:type="spellEnd"/>
      <w:r w:rsidRPr="00D1202A">
        <w:rPr>
          <w:rFonts w:ascii="Times New Roman" w:hAnsi="Times New Roman"/>
          <w:i/>
          <w:sz w:val="24"/>
          <w:szCs w:val="24"/>
        </w:rPr>
        <w:t xml:space="preserve"> second-hand </w:t>
      </w:r>
      <w:proofErr w:type="spellStart"/>
      <w:r w:rsidRPr="00D1202A">
        <w:rPr>
          <w:rFonts w:ascii="Times New Roman" w:hAnsi="Times New Roman"/>
          <w:i/>
          <w:sz w:val="24"/>
          <w:szCs w:val="24"/>
        </w:rPr>
        <w:t>riscuri</w:t>
      </w:r>
      <w:proofErr w:type="spellEnd"/>
      <w:r w:rsidRPr="00D1202A">
        <w:rPr>
          <w:rFonts w:ascii="Times New Roman" w:hAnsi="Times New Roman"/>
          <w:i/>
          <w:sz w:val="24"/>
          <w:szCs w:val="24"/>
        </w:rPr>
        <w:t xml:space="preserve"> </w:t>
      </w:r>
      <w:proofErr w:type="spellStart"/>
      <w:r w:rsidRPr="00D1202A">
        <w:rPr>
          <w:rFonts w:ascii="Times New Roman" w:hAnsi="Times New Roman"/>
          <w:i/>
          <w:sz w:val="24"/>
          <w:szCs w:val="24"/>
        </w:rPr>
        <w:t>și</w:t>
      </w:r>
      <w:proofErr w:type="spellEnd"/>
      <w:r w:rsidRPr="00D1202A">
        <w:rPr>
          <w:rFonts w:ascii="Times New Roman" w:hAnsi="Times New Roman"/>
          <w:i/>
          <w:sz w:val="24"/>
          <w:szCs w:val="24"/>
        </w:rPr>
        <w:t xml:space="preserve"> </w:t>
      </w:r>
      <w:proofErr w:type="spellStart"/>
      <w:r w:rsidRPr="00D1202A">
        <w:rPr>
          <w:rFonts w:ascii="Times New Roman" w:hAnsi="Times New Roman"/>
          <w:i/>
          <w:sz w:val="24"/>
          <w:szCs w:val="24"/>
        </w:rPr>
        <w:t>consecințe</w:t>
      </w:r>
      <w:proofErr w:type="spellEnd"/>
      <w:r w:rsidRPr="00D1202A">
        <w:rPr>
          <w:rFonts w:ascii="Times New Roman" w:hAnsi="Times New Roman"/>
          <w:i/>
          <w:sz w:val="24"/>
          <w:szCs w:val="24"/>
        </w:rPr>
        <w:t>”</w:t>
      </w:r>
    </w:p>
    <w:p w:rsidR="00903446" w:rsidRPr="00D1202A" w:rsidRDefault="00903446" w:rsidP="00D1202A">
      <w:pPr>
        <w:pStyle w:val="ListParagraph"/>
        <w:numPr>
          <w:ilvl w:val="0"/>
          <w:numId w:val="29"/>
        </w:numPr>
        <w:spacing w:after="0" w:line="240" w:lineRule="auto"/>
        <w:rPr>
          <w:rFonts w:ascii="Times New Roman" w:hAnsi="Times New Roman"/>
          <w:i/>
          <w:sz w:val="24"/>
          <w:szCs w:val="24"/>
        </w:rPr>
      </w:pPr>
      <w:r w:rsidRPr="00D1202A">
        <w:rPr>
          <w:rFonts w:ascii="Times New Roman" w:hAnsi="Times New Roman"/>
          <w:i/>
          <w:sz w:val="24"/>
          <w:szCs w:val="24"/>
        </w:rPr>
        <w:t xml:space="preserve">„Un </w:t>
      </w:r>
      <w:proofErr w:type="spellStart"/>
      <w:r w:rsidRPr="00D1202A">
        <w:rPr>
          <w:rFonts w:ascii="Times New Roman" w:hAnsi="Times New Roman"/>
          <w:i/>
          <w:sz w:val="24"/>
          <w:szCs w:val="24"/>
        </w:rPr>
        <w:t>angajat</w:t>
      </w:r>
      <w:proofErr w:type="spellEnd"/>
      <w:r w:rsidRPr="00D1202A">
        <w:rPr>
          <w:rFonts w:ascii="Times New Roman" w:hAnsi="Times New Roman"/>
          <w:i/>
          <w:sz w:val="24"/>
          <w:szCs w:val="24"/>
        </w:rPr>
        <w:t xml:space="preserve"> bine </w:t>
      </w:r>
      <w:proofErr w:type="spellStart"/>
      <w:r w:rsidRPr="00D1202A">
        <w:rPr>
          <w:rFonts w:ascii="Times New Roman" w:hAnsi="Times New Roman"/>
          <w:i/>
          <w:sz w:val="24"/>
          <w:szCs w:val="24"/>
        </w:rPr>
        <w:t>informat</w:t>
      </w:r>
      <w:proofErr w:type="spellEnd"/>
      <w:r w:rsidRPr="00D1202A">
        <w:rPr>
          <w:rFonts w:ascii="Times New Roman" w:hAnsi="Times New Roman"/>
          <w:i/>
          <w:sz w:val="24"/>
          <w:szCs w:val="24"/>
        </w:rPr>
        <w:t xml:space="preserve"> </w:t>
      </w:r>
      <w:proofErr w:type="spellStart"/>
      <w:r w:rsidRPr="00D1202A">
        <w:rPr>
          <w:rFonts w:ascii="Times New Roman" w:hAnsi="Times New Roman"/>
          <w:i/>
          <w:sz w:val="24"/>
          <w:szCs w:val="24"/>
        </w:rPr>
        <w:t>este</w:t>
      </w:r>
      <w:proofErr w:type="spellEnd"/>
      <w:r w:rsidRPr="00D1202A">
        <w:rPr>
          <w:rFonts w:ascii="Times New Roman" w:hAnsi="Times New Roman"/>
          <w:i/>
          <w:sz w:val="24"/>
          <w:szCs w:val="24"/>
        </w:rPr>
        <w:t xml:space="preserve"> bine </w:t>
      </w:r>
      <w:proofErr w:type="spellStart"/>
      <w:r w:rsidRPr="00D1202A">
        <w:rPr>
          <w:rFonts w:ascii="Times New Roman" w:hAnsi="Times New Roman"/>
          <w:i/>
          <w:sz w:val="24"/>
          <w:szCs w:val="24"/>
        </w:rPr>
        <w:t>protejat</w:t>
      </w:r>
      <w:proofErr w:type="spellEnd"/>
      <w:r w:rsidRPr="00D1202A">
        <w:rPr>
          <w:rFonts w:ascii="Times New Roman" w:hAnsi="Times New Roman"/>
          <w:i/>
          <w:sz w:val="24"/>
          <w:szCs w:val="24"/>
        </w:rPr>
        <w:t>”</w:t>
      </w:r>
    </w:p>
    <w:p w:rsidR="00903446" w:rsidRPr="00D1202A" w:rsidRDefault="00583426" w:rsidP="00D1202A">
      <w:pPr>
        <w:pStyle w:val="ListParagraph"/>
        <w:numPr>
          <w:ilvl w:val="0"/>
          <w:numId w:val="29"/>
        </w:numPr>
        <w:spacing w:after="0" w:line="240" w:lineRule="auto"/>
        <w:rPr>
          <w:rFonts w:ascii="Times New Roman" w:hAnsi="Times New Roman"/>
          <w:i/>
          <w:sz w:val="24"/>
          <w:szCs w:val="24"/>
        </w:rPr>
      </w:pPr>
      <w:r w:rsidRPr="00D1202A">
        <w:rPr>
          <w:rFonts w:ascii="Times New Roman" w:hAnsi="Times New Roman"/>
          <w:i/>
          <w:sz w:val="24"/>
          <w:szCs w:val="24"/>
        </w:rPr>
        <w:t>„</w:t>
      </w:r>
      <w:r w:rsidR="00903446" w:rsidRPr="00D1202A">
        <w:rPr>
          <w:rFonts w:ascii="Times New Roman" w:hAnsi="Times New Roman"/>
          <w:i/>
          <w:sz w:val="24"/>
          <w:szCs w:val="24"/>
        </w:rPr>
        <w:t xml:space="preserve">Ziua </w:t>
      </w:r>
      <w:proofErr w:type="spellStart"/>
      <w:r w:rsidR="00903446" w:rsidRPr="00D1202A">
        <w:rPr>
          <w:rFonts w:ascii="Times New Roman" w:hAnsi="Times New Roman"/>
          <w:i/>
          <w:sz w:val="24"/>
          <w:szCs w:val="24"/>
        </w:rPr>
        <w:t>Mondială</w:t>
      </w:r>
      <w:proofErr w:type="spellEnd"/>
      <w:r w:rsidR="00903446" w:rsidRPr="00D1202A">
        <w:rPr>
          <w:rFonts w:ascii="Times New Roman" w:hAnsi="Times New Roman"/>
          <w:i/>
          <w:sz w:val="24"/>
          <w:szCs w:val="24"/>
        </w:rPr>
        <w:t xml:space="preserve"> a </w:t>
      </w:r>
      <w:proofErr w:type="spellStart"/>
      <w:r w:rsidR="00903446" w:rsidRPr="00D1202A">
        <w:rPr>
          <w:rFonts w:ascii="Times New Roman" w:hAnsi="Times New Roman"/>
          <w:i/>
          <w:sz w:val="24"/>
          <w:szCs w:val="24"/>
        </w:rPr>
        <w:t>Consumatorilor</w:t>
      </w:r>
      <w:proofErr w:type="spellEnd"/>
      <w:r w:rsidR="00903446" w:rsidRPr="00D1202A">
        <w:rPr>
          <w:rFonts w:ascii="Times New Roman" w:hAnsi="Times New Roman"/>
          <w:i/>
          <w:sz w:val="24"/>
          <w:szCs w:val="24"/>
        </w:rPr>
        <w:t xml:space="preserve"> „Trusted Smart Products</w:t>
      </w:r>
      <w:r w:rsidR="00903446" w:rsidRPr="003D1BAD">
        <w:rPr>
          <w:rFonts w:ascii="Times New Roman" w:hAnsi="Times New Roman"/>
          <w:sz w:val="24"/>
          <w:szCs w:val="24"/>
        </w:rPr>
        <w:t>"</w:t>
      </w:r>
      <w:r w:rsidR="00903446" w:rsidRPr="00D1202A">
        <w:rPr>
          <w:rFonts w:ascii="Times New Roman" w:hAnsi="Times New Roman"/>
          <w:i/>
          <w:sz w:val="24"/>
          <w:szCs w:val="24"/>
        </w:rPr>
        <w:t xml:space="preserve">  </w:t>
      </w:r>
    </w:p>
    <w:p w:rsidR="00903446" w:rsidRPr="00D1202A" w:rsidRDefault="00903446" w:rsidP="00D1202A">
      <w:pPr>
        <w:pStyle w:val="ListParagraph"/>
        <w:numPr>
          <w:ilvl w:val="0"/>
          <w:numId w:val="29"/>
        </w:numPr>
        <w:spacing w:after="0" w:line="240" w:lineRule="auto"/>
        <w:rPr>
          <w:rFonts w:ascii="Times New Roman" w:hAnsi="Times New Roman"/>
          <w:i/>
          <w:sz w:val="24"/>
          <w:szCs w:val="24"/>
        </w:rPr>
      </w:pPr>
      <w:r w:rsidRPr="00D1202A">
        <w:rPr>
          <w:rFonts w:ascii="Times New Roman" w:hAnsi="Times New Roman"/>
          <w:i/>
          <w:sz w:val="24"/>
          <w:szCs w:val="24"/>
        </w:rPr>
        <w:t>„</w:t>
      </w:r>
      <w:proofErr w:type="spellStart"/>
      <w:r w:rsidRPr="00D1202A">
        <w:rPr>
          <w:rFonts w:ascii="Times New Roman" w:hAnsi="Times New Roman"/>
          <w:i/>
          <w:sz w:val="24"/>
          <w:szCs w:val="24"/>
        </w:rPr>
        <w:t>Siguranța</w:t>
      </w:r>
      <w:proofErr w:type="spellEnd"/>
      <w:r w:rsidRPr="00D1202A">
        <w:rPr>
          <w:rFonts w:ascii="Times New Roman" w:hAnsi="Times New Roman"/>
          <w:i/>
          <w:sz w:val="24"/>
          <w:szCs w:val="24"/>
        </w:rPr>
        <w:t xml:space="preserve"> la </w:t>
      </w:r>
      <w:proofErr w:type="spellStart"/>
      <w:r w:rsidRPr="00D1202A">
        <w:rPr>
          <w:rFonts w:ascii="Times New Roman" w:hAnsi="Times New Roman"/>
          <w:i/>
          <w:sz w:val="24"/>
          <w:szCs w:val="24"/>
        </w:rPr>
        <w:t>locul</w:t>
      </w:r>
      <w:proofErr w:type="spellEnd"/>
      <w:r w:rsidRPr="00D1202A">
        <w:rPr>
          <w:rFonts w:ascii="Times New Roman" w:hAnsi="Times New Roman"/>
          <w:i/>
          <w:sz w:val="24"/>
          <w:szCs w:val="24"/>
        </w:rPr>
        <w:t xml:space="preserve"> de </w:t>
      </w:r>
      <w:proofErr w:type="spellStart"/>
      <w:r w:rsidRPr="00D1202A">
        <w:rPr>
          <w:rFonts w:ascii="Times New Roman" w:hAnsi="Times New Roman"/>
          <w:i/>
          <w:sz w:val="24"/>
          <w:szCs w:val="24"/>
        </w:rPr>
        <w:t>muncă-problema</w:t>
      </w:r>
      <w:proofErr w:type="spellEnd"/>
      <w:r w:rsidRPr="00D1202A">
        <w:rPr>
          <w:rFonts w:ascii="Times New Roman" w:hAnsi="Times New Roman"/>
          <w:i/>
          <w:sz w:val="24"/>
          <w:szCs w:val="24"/>
        </w:rPr>
        <w:t xml:space="preserve"> </w:t>
      </w:r>
      <w:proofErr w:type="spellStart"/>
      <w:r w:rsidRPr="00D1202A">
        <w:rPr>
          <w:rFonts w:ascii="Times New Roman" w:hAnsi="Times New Roman"/>
          <w:i/>
          <w:sz w:val="24"/>
          <w:szCs w:val="24"/>
        </w:rPr>
        <w:t>majoră</w:t>
      </w:r>
      <w:proofErr w:type="spellEnd"/>
      <w:r w:rsidRPr="00D1202A">
        <w:rPr>
          <w:rFonts w:ascii="Times New Roman" w:hAnsi="Times New Roman"/>
          <w:i/>
          <w:sz w:val="24"/>
          <w:szCs w:val="24"/>
        </w:rPr>
        <w:t xml:space="preserve"> a </w:t>
      </w:r>
      <w:proofErr w:type="spellStart"/>
      <w:r w:rsidRPr="00D1202A">
        <w:rPr>
          <w:rFonts w:ascii="Times New Roman" w:hAnsi="Times New Roman"/>
          <w:i/>
          <w:sz w:val="24"/>
          <w:szCs w:val="24"/>
        </w:rPr>
        <w:t>angajatorului</w:t>
      </w:r>
      <w:proofErr w:type="spellEnd"/>
      <w:r w:rsidRPr="00D1202A">
        <w:rPr>
          <w:rFonts w:ascii="Times New Roman" w:hAnsi="Times New Roman"/>
          <w:i/>
          <w:sz w:val="24"/>
          <w:szCs w:val="24"/>
        </w:rPr>
        <w:t>”</w:t>
      </w:r>
    </w:p>
    <w:p w:rsidR="00903446" w:rsidRPr="00D1202A" w:rsidRDefault="00903446" w:rsidP="00D1202A">
      <w:pPr>
        <w:pStyle w:val="ListParagraph"/>
        <w:numPr>
          <w:ilvl w:val="0"/>
          <w:numId w:val="29"/>
        </w:numPr>
        <w:spacing w:after="0" w:line="240" w:lineRule="auto"/>
        <w:rPr>
          <w:rFonts w:ascii="Times New Roman" w:hAnsi="Times New Roman"/>
          <w:i/>
          <w:sz w:val="24"/>
          <w:szCs w:val="24"/>
        </w:rPr>
      </w:pPr>
      <w:r w:rsidRPr="00D1202A">
        <w:rPr>
          <w:rFonts w:ascii="Times New Roman" w:hAnsi="Times New Roman"/>
          <w:i/>
          <w:sz w:val="24"/>
          <w:szCs w:val="24"/>
        </w:rPr>
        <w:t xml:space="preserve">„Ai </w:t>
      </w:r>
      <w:proofErr w:type="spellStart"/>
      <w:r w:rsidRPr="00D1202A">
        <w:rPr>
          <w:rFonts w:ascii="Times New Roman" w:hAnsi="Times New Roman"/>
          <w:i/>
          <w:sz w:val="24"/>
          <w:szCs w:val="24"/>
        </w:rPr>
        <w:t>grijă</w:t>
      </w:r>
      <w:proofErr w:type="spellEnd"/>
      <w:r w:rsidRPr="00D1202A">
        <w:rPr>
          <w:rFonts w:ascii="Times New Roman" w:hAnsi="Times New Roman"/>
          <w:i/>
          <w:sz w:val="24"/>
          <w:szCs w:val="24"/>
        </w:rPr>
        <w:t xml:space="preserve"> </w:t>
      </w:r>
      <w:proofErr w:type="spellStart"/>
      <w:r w:rsidRPr="00D1202A">
        <w:rPr>
          <w:rFonts w:ascii="Times New Roman" w:hAnsi="Times New Roman"/>
          <w:i/>
          <w:sz w:val="24"/>
          <w:szCs w:val="24"/>
        </w:rPr>
        <w:t>ce</w:t>
      </w:r>
      <w:proofErr w:type="spellEnd"/>
      <w:r w:rsidRPr="00D1202A">
        <w:rPr>
          <w:rFonts w:ascii="Times New Roman" w:hAnsi="Times New Roman"/>
          <w:i/>
          <w:sz w:val="24"/>
          <w:szCs w:val="24"/>
        </w:rPr>
        <w:t xml:space="preserve"> </w:t>
      </w:r>
      <w:proofErr w:type="spellStart"/>
      <w:r w:rsidRPr="00D1202A">
        <w:rPr>
          <w:rFonts w:ascii="Times New Roman" w:hAnsi="Times New Roman"/>
          <w:i/>
          <w:sz w:val="24"/>
          <w:szCs w:val="24"/>
        </w:rPr>
        <w:t>produse</w:t>
      </w:r>
      <w:proofErr w:type="spellEnd"/>
      <w:r w:rsidRPr="00D1202A">
        <w:rPr>
          <w:rFonts w:ascii="Times New Roman" w:hAnsi="Times New Roman"/>
          <w:i/>
          <w:sz w:val="24"/>
          <w:szCs w:val="24"/>
        </w:rPr>
        <w:t xml:space="preserve"> </w:t>
      </w:r>
      <w:proofErr w:type="spellStart"/>
      <w:r w:rsidRPr="00D1202A">
        <w:rPr>
          <w:rFonts w:ascii="Times New Roman" w:hAnsi="Times New Roman"/>
          <w:i/>
          <w:sz w:val="24"/>
          <w:szCs w:val="24"/>
        </w:rPr>
        <w:t>cumperi</w:t>
      </w:r>
      <w:proofErr w:type="spellEnd"/>
      <w:r w:rsidRPr="00D1202A">
        <w:rPr>
          <w:rFonts w:ascii="Times New Roman" w:hAnsi="Times New Roman"/>
          <w:i/>
          <w:sz w:val="24"/>
          <w:szCs w:val="24"/>
        </w:rPr>
        <w:t xml:space="preserve"> </w:t>
      </w:r>
      <w:proofErr w:type="spellStart"/>
      <w:r w:rsidRPr="00D1202A">
        <w:rPr>
          <w:rFonts w:ascii="Times New Roman" w:hAnsi="Times New Roman"/>
          <w:i/>
          <w:sz w:val="24"/>
          <w:szCs w:val="24"/>
        </w:rPr>
        <w:t>copilului</w:t>
      </w:r>
      <w:proofErr w:type="spellEnd"/>
      <w:r w:rsidRPr="00D1202A">
        <w:rPr>
          <w:rFonts w:ascii="Times New Roman" w:hAnsi="Times New Roman"/>
          <w:i/>
          <w:sz w:val="24"/>
          <w:szCs w:val="24"/>
        </w:rPr>
        <w:t xml:space="preserve"> </w:t>
      </w:r>
      <w:proofErr w:type="spellStart"/>
      <w:r w:rsidRPr="00D1202A">
        <w:rPr>
          <w:rFonts w:ascii="Times New Roman" w:hAnsi="Times New Roman"/>
          <w:i/>
          <w:sz w:val="24"/>
          <w:szCs w:val="24"/>
        </w:rPr>
        <w:t>tău</w:t>
      </w:r>
      <w:proofErr w:type="spellEnd"/>
      <w:r w:rsidRPr="00D1202A">
        <w:rPr>
          <w:rFonts w:ascii="Times New Roman" w:hAnsi="Times New Roman"/>
          <w:i/>
          <w:sz w:val="24"/>
          <w:szCs w:val="24"/>
        </w:rPr>
        <w:t>!</w:t>
      </w:r>
      <w:proofErr w:type="gramStart"/>
      <w:r w:rsidRPr="00D1202A">
        <w:rPr>
          <w:rFonts w:ascii="Times New Roman" w:hAnsi="Times New Roman"/>
          <w:i/>
          <w:sz w:val="24"/>
          <w:szCs w:val="24"/>
        </w:rPr>
        <w:t>”;</w:t>
      </w:r>
      <w:proofErr w:type="gramEnd"/>
    </w:p>
    <w:p w:rsidR="00903446" w:rsidRPr="00D1202A" w:rsidRDefault="00903446" w:rsidP="00D1202A">
      <w:pPr>
        <w:pStyle w:val="ListParagraph"/>
        <w:numPr>
          <w:ilvl w:val="0"/>
          <w:numId w:val="29"/>
        </w:numPr>
        <w:spacing w:after="0" w:line="240" w:lineRule="auto"/>
        <w:rPr>
          <w:rFonts w:ascii="Times New Roman" w:hAnsi="Times New Roman"/>
          <w:i/>
          <w:sz w:val="24"/>
          <w:szCs w:val="24"/>
        </w:rPr>
      </w:pPr>
      <w:r w:rsidRPr="00D1202A">
        <w:rPr>
          <w:rFonts w:ascii="Times New Roman" w:hAnsi="Times New Roman"/>
          <w:i/>
          <w:sz w:val="24"/>
          <w:szCs w:val="24"/>
        </w:rPr>
        <w:lastRenderedPageBreak/>
        <w:t>„</w:t>
      </w:r>
      <w:proofErr w:type="spellStart"/>
      <w:r w:rsidRPr="00D1202A">
        <w:rPr>
          <w:rFonts w:ascii="Times New Roman" w:hAnsi="Times New Roman"/>
          <w:i/>
          <w:sz w:val="24"/>
          <w:szCs w:val="24"/>
        </w:rPr>
        <w:t>Consumă</w:t>
      </w:r>
      <w:proofErr w:type="spellEnd"/>
      <w:r w:rsidRPr="00D1202A">
        <w:rPr>
          <w:rFonts w:ascii="Times New Roman" w:hAnsi="Times New Roman"/>
          <w:i/>
          <w:sz w:val="24"/>
          <w:szCs w:val="24"/>
        </w:rPr>
        <w:t xml:space="preserve"> </w:t>
      </w:r>
      <w:proofErr w:type="spellStart"/>
      <w:r w:rsidRPr="00D1202A">
        <w:rPr>
          <w:rFonts w:ascii="Times New Roman" w:hAnsi="Times New Roman"/>
          <w:i/>
          <w:sz w:val="24"/>
          <w:szCs w:val="24"/>
        </w:rPr>
        <w:t>responsabil</w:t>
      </w:r>
      <w:proofErr w:type="spellEnd"/>
      <w:r w:rsidRPr="00D1202A">
        <w:rPr>
          <w:rFonts w:ascii="Times New Roman" w:hAnsi="Times New Roman"/>
          <w:i/>
          <w:sz w:val="24"/>
          <w:szCs w:val="24"/>
        </w:rPr>
        <w:t xml:space="preserve">, </w:t>
      </w:r>
      <w:proofErr w:type="spellStart"/>
      <w:r w:rsidRPr="00D1202A">
        <w:rPr>
          <w:rFonts w:ascii="Times New Roman" w:hAnsi="Times New Roman"/>
          <w:i/>
          <w:sz w:val="24"/>
          <w:szCs w:val="24"/>
        </w:rPr>
        <w:t>alege</w:t>
      </w:r>
      <w:proofErr w:type="spellEnd"/>
      <w:r w:rsidRPr="00D1202A">
        <w:rPr>
          <w:rFonts w:ascii="Times New Roman" w:hAnsi="Times New Roman"/>
          <w:i/>
          <w:sz w:val="24"/>
          <w:szCs w:val="24"/>
        </w:rPr>
        <w:t xml:space="preserve"> </w:t>
      </w:r>
      <w:proofErr w:type="spellStart"/>
      <w:r w:rsidRPr="00D1202A">
        <w:rPr>
          <w:rFonts w:ascii="Times New Roman" w:hAnsi="Times New Roman"/>
          <w:i/>
          <w:sz w:val="24"/>
          <w:szCs w:val="24"/>
        </w:rPr>
        <w:t>inteligent</w:t>
      </w:r>
      <w:proofErr w:type="spellEnd"/>
      <w:r w:rsidRPr="00D1202A">
        <w:rPr>
          <w:rFonts w:ascii="Times New Roman" w:hAnsi="Times New Roman"/>
          <w:i/>
          <w:sz w:val="24"/>
          <w:szCs w:val="24"/>
        </w:rPr>
        <w:t>”;</w:t>
      </w:r>
    </w:p>
    <w:p w:rsidR="00903446" w:rsidRPr="00D1202A" w:rsidRDefault="00D1202A" w:rsidP="00D1202A">
      <w:pPr>
        <w:pStyle w:val="ListParagraph"/>
        <w:numPr>
          <w:ilvl w:val="0"/>
          <w:numId w:val="29"/>
        </w:numPr>
        <w:spacing w:after="0" w:line="240" w:lineRule="auto"/>
        <w:rPr>
          <w:rFonts w:ascii="Times New Roman" w:hAnsi="Times New Roman"/>
          <w:i/>
          <w:sz w:val="24"/>
          <w:szCs w:val="24"/>
        </w:rPr>
      </w:pPr>
      <w:r>
        <w:rPr>
          <w:rFonts w:ascii="Times New Roman" w:hAnsi="Times New Roman"/>
          <w:i/>
          <w:sz w:val="24"/>
          <w:szCs w:val="24"/>
        </w:rPr>
        <w:t>-„</w:t>
      </w:r>
      <w:proofErr w:type="spellStart"/>
      <w:r>
        <w:rPr>
          <w:rFonts w:ascii="Times New Roman" w:hAnsi="Times New Roman"/>
          <w:i/>
          <w:sz w:val="24"/>
          <w:szCs w:val="24"/>
        </w:rPr>
        <w:t>Află</w:t>
      </w:r>
      <w:proofErr w:type="spellEnd"/>
      <w:r>
        <w:rPr>
          <w:rFonts w:ascii="Times New Roman" w:hAnsi="Times New Roman"/>
          <w:i/>
          <w:sz w:val="24"/>
          <w:szCs w:val="24"/>
        </w:rPr>
        <w:t xml:space="preserve"> </w:t>
      </w:r>
      <w:proofErr w:type="spellStart"/>
      <w:r>
        <w:rPr>
          <w:rFonts w:ascii="Times New Roman" w:hAnsi="Times New Roman"/>
          <w:i/>
          <w:sz w:val="24"/>
          <w:szCs w:val="24"/>
        </w:rPr>
        <w:t>totul</w:t>
      </w:r>
      <w:proofErr w:type="spellEnd"/>
      <w:r>
        <w:rPr>
          <w:rFonts w:ascii="Times New Roman" w:hAnsi="Times New Roman"/>
          <w:i/>
          <w:sz w:val="24"/>
          <w:szCs w:val="24"/>
        </w:rPr>
        <w:t xml:space="preserve"> </w:t>
      </w:r>
      <w:proofErr w:type="spellStart"/>
      <w:r>
        <w:rPr>
          <w:rFonts w:ascii="Times New Roman" w:hAnsi="Times New Roman"/>
          <w:i/>
          <w:sz w:val="24"/>
          <w:szCs w:val="24"/>
        </w:rPr>
        <w:t>despre</w:t>
      </w:r>
      <w:proofErr w:type="spellEnd"/>
      <w:r>
        <w:rPr>
          <w:rFonts w:ascii="Times New Roman" w:hAnsi="Times New Roman"/>
          <w:i/>
          <w:sz w:val="24"/>
          <w:szCs w:val="24"/>
        </w:rPr>
        <w:t xml:space="preserve"> </w:t>
      </w:r>
      <w:proofErr w:type="spellStart"/>
      <w:r>
        <w:rPr>
          <w:rFonts w:ascii="Times New Roman" w:hAnsi="Times New Roman"/>
          <w:i/>
          <w:sz w:val="24"/>
          <w:szCs w:val="24"/>
        </w:rPr>
        <w:t>bani</w:t>
      </w:r>
      <w:proofErr w:type="spellEnd"/>
      <w:r>
        <w:rPr>
          <w:rFonts w:ascii="Times New Roman" w:hAnsi="Times New Roman"/>
          <w:i/>
          <w:sz w:val="24"/>
          <w:szCs w:val="24"/>
        </w:rPr>
        <w:t>!</w:t>
      </w:r>
      <w:proofErr w:type="gramStart"/>
      <w:r>
        <w:rPr>
          <w:rFonts w:ascii="Times New Roman" w:hAnsi="Times New Roman"/>
          <w:i/>
          <w:sz w:val="24"/>
          <w:szCs w:val="24"/>
        </w:rPr>
        <w:t>”,</w:t>
      </w:r>
      <w:proofErr w:type="gramEnd"/>
      <w:r>
        <w:rPr>
          <w:rFonts w:ascii="Times New Roman" w:hAnsi="Times New Roman"/>
          <w:i/>
          <w:sz w:val="24"/>
          <w:szCs w:val="24"/>
        </w:rPr>
        <w:t xml:space="preserve"> </w:t>
      </w:r>
      <w:proofErr w:type="spellStart"/>
      <w:r w:rsidR="00903446" w:rsidRPr="00D1202A">
        <w:rPr>
          <w:rFonts w:ascii="Times New Roman" w:hAnsi="Times New Roman"/>
          <w:sz w:val="24"/>
          <w:szCs w:val="24"/>
        </w:rPr>
        <w:t>în</w:t>
      </w:r>
      <w:proofErr w:type="spellEnd"/>
      <w:r w:rsidR="00903446" w:rsidRPr="00D1202A">
        <w:rPr>
          <w:rFonts w:ascii="Times New Roman" w:hAnsi="Times New Roman"/>
          <w:sz w:val="24"/>
          <w:szCs w:val="24"/>
        </w:rPr>
        <w:t xml:space="preserve"> </w:t>
      </w:r>
      <w:proofErr w:type="spellStart"/>
      <w:r w:rsidR="00903446" w:rsidRPr="00D1202A">
        <w:rPr>
          <w:rFonts w:ascii="Times New Roman" w:hAnsi="Times New Roman"/>
          <w:sz w:val="24"/>
          <w:szCs w:val="24"/>
        </w:rPr>
        <w:t>parteneriat</w:t>
      </w:r>
      <w:proofErr w:type="spellEnd"/>
      <w:r w:rsidR="00903446" w:rsidRPr="00D1202A">
        <w:rPr>
          <w:rFonts w:ascii="Times New Roman" w:hAnsi="Times New Roman"/>
          <w:sz w:val="24"/>
          <w:szCs w:val="24"/>
        </w:rPr>
        <w:t xml:space="preserve"> cu Camera </w:t>
      </w:r>
      <w:proofErr w:type="spellStart"/>
      <w:r w:rsidR="00903446" w:rsidRPr="00D1202A">
        <w:rPr>
          <w:rFonts w:ascii="Times New Roman" w:hAnsi="Times New Roman"/>
          <w:sz w:val="24"/>
          <w:szCs w:val="24"/>
        </w:rPr>
        <w:t>Americană</w:t>
      </w:r>
      <w:proofErr w:type="spellEnd"/>
      <w:r w:rsidR="00903446" w:rsidRPr="00D1202A">
        <w:rPr>
          <w:rFonts w:ascii="Times New Roman" w:hAnsi="Times New Roman"/>
          <w:sz w:val="24"/>
          <w:szCs w:val="24"/>
        </w:rPr>
        <w:t xml:space="preserve"> de </w:t>
      </w:r>
      <w:proofErr w:type="spellStart"/>
      <w:r w:rsidR="00903446" w:rsidRPr="00D1202A">
        <w:rPr>
          <w:rFonts w:ascii="Times New Roman" w:hAnsi="Times New Roman"/>
          <w:sz w:val="24"/>
          <w:szCs w:val="24"/>
        </w:rPr>
        <w:t>Comerț</w:t>
      </w:r>
      <w:proofErr w:type="spellEnd"/>
      <w:r w:rsidR="00903446" w:rsidRPr="00D1202A">
        <w:rPr>
          <w:rFonts w:ascii="Times New Roman" w:hAnsi="Times New Roman"/>
          <w:sz w:val="24"/>
          <w:szCs w:val="24"/>
        </w:rPr>
        <w:t xml:space="preserve"> </w:t>
      </w:r>
      <w:proofErr w:type="spellStart"/>
      <w:r w:rsidR="00903446" w:rsidRPr="00D1202A">
        <w:rPr>
          <w:rFonts w:ascii="Times New Roman" w:hAnsi="Times New Roman"/>
          <w:sz w:val="24"/>
          <w:szCs w:val="24"/>
        </w:rPr>
        <w:t>și</w:t>
      </w:r>
      <w:proofErr w:type="spellEnd"/>
      <w:r w:rsidR="00903446" w:rsidRPr="00D1202A">
        <w:rPr>
          <w:rFonts w:ascii="Times New Roman" w:hAnsi="Times New Roman"/>
          <w:sz w:val="24"/>
          <w:szCs w:val="24"/>
        </w:rPr>
        <w:t xml:space="preserve"> OCN </w:t>
      </w:r>
      <w:r w:rsidR="003D1BAD">
        <w:rPr>
          <w:rFonts w:ascii="Times New Roman" w:hAnsi="Times New Roman"/>
          <w:sz w:val="24"/>
          <w:szCs w:val="24"/>
        </w:rPr>
        <w:t>„</w:t>
      </w:r>
      <w:proofErr w:type="spellStart"/>
      <w:r w:rsidR="00903446" w:rsidRPr="00D1202A">
        <w:rPr>
          <w:rFonts w:ascii="Times New Roman" w:hAnsi="Times New Roman"/>
          <w:sz w:val="24"/>
          <w:szCs w:val="24"/>
        </w:rPr>
        <w:t>Iute</w:t>
      </w:r>
      <w:proofErr w:type="spellEnd"/>
      <w:r w:rsidR="00903446" w:rsidRPr="00D1202A">
        <w:rPr>
          <w:rFonts w:ascii="Times New Roman" w:hAnsi="Times New Roman"/>
          <w:sz w:val="24"/>
          <w:szCs w:val="24"/>
        </w:rPr>
        <w:t xml:space="preserve"> Credit</w:t>
      </w:r>
      <w:r w:rsidR="003D1BAD">
        <w:rPr>
          <w:rFonts w:ascii="Times New Roman" w:hAnsi="Times New Roman"/>
          <w:sz w:val="24"/>
          <w:szCs w:val="24"/>
        </w:rPr>
        <w:t>”</w:t>
      </w:r>
      <w:r w:rsidR="00903446" w:rsidRPr="00D1202A">
        <w:rPr>
          <w:rFonts w:ascii="Times New Roman" w:hAnsi="Times New Roman"/>
          <w:sz w:val="24"/>
          <w:szCs w:val="24"/>
        </w:rPr>
        <w:t xml:space="preserve"> SRL, care </w:t>
      </w:r>
      <w:proofErr w:type="spellStart"/>
      <w:r w:rsidR="00903446" w:rsidRPr="00D1202A">
        <w:rPr>
          <w:rFonts w:ascii="Times New Roman" w:hAnsi="Times New Roman"/>
          <w:sz w:val="24"/>
          <w:szCs w:val="24"/>
        </w:rPr>
        <w:t>va</w:t>
      </w:r>
      <w:proofErr w:type="spellEnd"/>
      <w:r w:rsidR="00903446" w:rsidRPr="00D1202A">
        <w:rPr>
          <w:rFonts w:ascii="Times New Roman" w:hAnsi="Times New Roman"/>
          <w:sz w:val="24"/>
          <w:szCs w:val="24"/>
        </w:rPr>
        <w:t xml:space="preserve"> continua </w:t>
      </w:r>
      <w:proofErr w:type="spellStart"/>
      <w:r w:rsidR="00903446" w:rsidRPr="00D1202A">
        <w:rPr>
          <w:rFonts w:ascii="Times New Roman" w:hAnsi="Times New Roman"/>
          <w:sz w:val="24"/>
          <w:szCs w:val="24"/>
        </w:rPr>
        <w:t>și</w:t>
      </w:r>
      <w:proofErr w:type="spellEnd"/>
      <w:r w:rsidR="00903446" w:rsidRPr="00D1202A">
        <w:rPr>
          <w:rFonts w:ascii="Times New Roman" w:hAnsi="Times New Roman"/>
          <w:sz w:val="24"/>
          <w:szCs w:val="24"/>
        </w:rPr>
        <w:t xml:space="preserve"> </w:t>
      </w:r>
      <w:proofErr w:type="spellStart"/>
      <w:r w:rsidR="00903446" w:rsidRPr="00D1202A">
        <w:rPr>
          <w:rFonts w:ascii="Times New Roman" w:hAnsi="Times New Roman"/>
          <w:sz w:val="24"/>
          <w:szCs w:val="24"/>
        </w:rPr>
        <w:t>în</w:t>
      </w:r>
      <w:proofErr w:type="spellEnd"/>
      <w:r w:rsidR="00903446" w:rsidRPr="00D1202A">
        <w:rPr>
          <w:rFonts w:ascii="Times New Roman" w:hAnsi="Times New Roman"/>
          <w:sz w:val="24"/>
          <w:szCs w:val="24"/>
        </w:rPr>
        <w:t xml:space="preserve"> 2020.</w:t>
      </w:r>
    </w:p>
    <w:p w:rsidR="00903446" w:rsidRPr="00D1202A" w:rsidRDefault="00F170A8" w:rsidP="00F170A8">
      <w:pPr>
        <w:tabs>
          <w:tab w:val="left" w:pos="176"/>
        </w:tabs>
        <w:ind w:firstLine="720"/>
        <w:jc w:val="both"/>
        <w:rPr>
          <w:lang w:val="ro-RO"/>
        </w:rPr>
      </w:pPr>
      <w:r>
        <w:rPr>
          <w:lang w:val="ro-RO"/>
        </w:rPr>
        <w:t xml:space="preserve">- </w:t>
      </w:r>
      <w:r w:rsidR="00903446" w:rsidRPr="00D1202A">
        <w:rPr>
          <w:lang w:val="ro-RO"/>
        </w:rPr>
        <w:t>8 mese rotunde cu mediul de afaceri</w:t>
      </w:r>
      <w:r w:rsidR="00D1202A" w:rsidRPr="00D1202A">
        <w:rPr>
          <w:lang w:val="ro-RO"/>
        </w:rPr>
        <w:t xml:space="preserve"> </w:t>
      </w:r>
      <w:r w:rsidR="00903446" w:rsidRPr="00D1202A">
        <w:rPr>
          <w:lang w:val="ro-RO"/>
        </w:rPr>
        <w:t xml:space="preserve">din </w:t>
      </w:r>
      <w:r w:rsidR="00D1202A" w:rsidRPr="00D1202A">
        <w:rPr>
          <w:lang w:val="ro-RO"/>
        </w:rPr>
        <w:t xml:space="preserve">orașele </w:t>
      </w:r>
      <w:r w:rsidR="00903446" w:rsidRPr="00D1202A">
        <w:rPr>
          <w:lang w:val="ro-RO"/>
        </w:rPr>
        <w:t>Drochia, Coșnița Dubăsari, Sângerei, Dr</w:t>
      </w:r>
      <w:r w:rsidR="00D1202A" w:rsidRPr="00D1202A">
        <w:rPr>
          <w:lang w:val="ro-RO"/>
        </w:rPr>
        <w:t>ochia, Călărași; d</w:t>
      </w:r>
      <w:r w:rsidR="00903446" w:rsidRPr="00D1202A">
        <w:rPr>
          <w:lang w:val="ro-RO"/>
        </w:rPr>
        <w:t>in alimentația publică (Chișinău)- 1;</w:t>
      </w:r>
      <w:r w:rsidR="00D1202A">
        <w:rPr>
          <w:lang w:val="ro-RO"/>
        </w:rPr>
        <w:t xml:space="preserve"> </w:t>
      </w:r>
      <w:r w:rsidR="00903446" w:rsidRPr="00D1202A">
        <w:rPr>
          <w:lang w:val="ro-RO"/>
        </w:rPr>
        <w:t>din industria turismului (Chișinău)- 1;</w:t>
      </w:r>
      <w:r w:rsidR="00D1202A">
        <w:rPr>
          <w:lang w:val="ro-RO"/>
        </w:rPr>
        <w:t xml:space="preserve"> </w:t>
      </w:r>
      <w:r w:rsidR="00903446" w:rsidRPr="00D1202A">
        <w:rPr>
          <w:lang w:val="ro-RO"/>
        </w:rPr>
        <w:t>administratori ai stațiilor PECO (Chișinău) - 1.</w:t>
      </w:r>
    </w:p>
    <w:p w:rsidR="00903446" w:rsidRPr="00866277" w:rsidRDefault="00F170A8" w:rsidP="00F170A8">
      <w:pPr>
        <w:tabs>
          <w:tab w:val="left" w:pos="176"/>
        </w:tabs>
        <w:ind w:firstLine="720"/>
        <w:jc w:val="both"/>
        <w:rPr>
          <w:lang w:val="ro-RO"/>
        </w:rPr>
      </w:pPr>
      <w:r>
        <w:rPr>
          <w:lang w:val="ro-RO"/>
        </w:rPr>
        <w:t xml:space="preserve">- </w:t>
      </w:r>
      <w:r w:rsidR="00903446" w:rsidRPr="00866277">
        <w:rPr>
          <w:lang w:val="ro-RO"/>
        </w:rPr>
        <w:t>114 vizite de consultanță  (</w:t>
      </w:r>
      <w:r w:rsidR="00903446" w:rsidRPr="00866277">
        <w:rPr>
          <w:noProof/>
          <w:lang w:val="ro-RO"/>
        </w:rPr>
        <w:t>10 la solicitarea agenților economici și APL):</w:t>
      </w:r>
      <w:r>
        <w:rPr>
          <w:noProof/>
          <w:lang w:val="ro-RO"/>
        </w:rPr>
        <w:t xml:space="preserve"> 64 c</w:t>
      </w:r>
      <w:proofErr w:type="spellStart"/>
      <w:r w:rsidR="00903446" w:rsidRPr="00866277">
        <w:rPr>
          <w:lang w:val="ro-RO"/>
        </w:rPr>
        <w:t>olective</w:t>
      </w:r>
      <w:proofErr w:type="spellEnd"/>
      <w:r w:rsidR="00903446" w:rsidRPr="00866277">
        <w:rPr>
          <w:lang w:val="ro-RO"/>
        </w:rPr>
        <w:t xml:space="preserve"> de muncă; </w:t>
      </w:r>
      <w:r>
        <w:rPr>
          <w:lang w:val="ro-RO"/>
        </w:rPr>
        <w:t>22 p</w:t>
      </w:r>
      <w:r w:rsidR="00903446" w:rsidRPr="00866277">
        <w:rPr>
          <w:lang w:val="ro-RO"/>
        </w:rPr>
        <w:t>iețe;</w:t>
      </w:r>
      <w:r>
        <w:rPr>
          <w:lang w:val="ro-RO"/>
        </w:rPr>
        <w:t xml:space="preserve"> 17 i</w:t>
      </w:r>
      <w:r w:rsidR="00903446" w:rsidRPr="00866277">
        <w:rPr>
          <w:lang w:val="ro-RO"/>
        </w:rPr>
        <w:t xml:space="preserve">nstituții de învățământ </w:t>
      </w:r>
      <w:r>
        <w:rPr>
          <w:lang w:val="ro-RO"/>
        </w:rPr>
        <w:t>și 11 c</w:t>
      </w:r>
      <w:r w:rsidR="00903446" w:rsidRPr="00866277">
        <w:rPr>
          <w:lang w:val="ro-RO"/>
        </w:rPr>
        <w:t>onsilii raionalele / Primării.</w:t>
      </w:r>
      <w:r w:rsidR="00903446" w:rsidRPr="00866277">
        <w:rPr>
          <w:lang w:val="ro-RO"/>
        </w:rPr>
        <w:tab/>
      </w:r>
    </w:p>
    <w:p w:rsidR="00903446" w:rsidRPr="00F170A8" w:rsidRDefault="00F170A8" w:rsidP="00F170A8">
      <w:pPr>
        <w:tabs>
          <w:tab w:val="left" w:pos="0"/>
          <w:tab w:val="left" w:pos="34"/>
          <w:tab w:val="left" w:pos="4260"/>
        </w:tabs>
        <w:ind w:firstLine="720"/>
        <w:jc w:val="both"/>
        <w:rPr>
          <w:lang w:val="ro-RO"/>
        </w:rPr>
      </w:pPr>
      <w:r>
        <w:rPr>
          <w:lang w:val="ro-RO"/>
        </w:rPr>
        <w:t xml:space="preserve">- </w:t>
      </w:r>
      <w:r w:rsidR="00903446" w:rsidRPr="00F170A8">
        <w:rPr>
          <w:lang w:val="ro-RO"/>
        </w:rPr>
        <w:t>5 Evenimente tematice tradiționale:</w:t>
      </w:r>
    </w:p>
    <w:p w:rsidR="00903446" w:rsidRPr="00F170A8" w:rsidRDefault="00903446" w:rsidP="00F170A8">
      <w:pPr>
        <w:pStyle w:val="ListParagraph"/>
        <w:numPr>
          <w:ilvl w:val="0"/>
          <w:numId w:val="32"/>
        </w:numPr>
        <w:rPr>
          <w:rFonts w:ascii="Times New Roman" w:hAnsi="Times New Roman"/>
          <w:i/>
          <w:sz w:val="24"/>
          <w:szCs w:val="24"/>
        </w:rPr>
      </w:pPr>
      <w:r w:rsidRPr="00F170A8">
        <w:rPr>
          <w:rFonts w:ascii="Times New Roman" w:hAnsi="Times New Roman"/>
          <w:i/>
          <w:sz w:val="24"/>
          <w:szCs w:val="24"/>
        </w:rPr>
        <w:t>Z</w:t>
      </w:r>
      <w:r w:rsidR="00F170A8">
        <w:rPr>
          <w:rFonts w:ascii="Times New Roman" w:hAnsi="Times New Roman"/>
          <w:i/>
          <w:sz w:val="24"/>
          <w:szCs w:val="24"/>
        </w:rPr>
        <w:t>iua</w:t>
      </w:r>
      <w:r w:rsidRPr="00F170A8">
        <w:rPr>
          <w:rFonts w:ascii="Times New Roman" w:hAnsi="Times New Roman"/>
          <w:i/>
          <w:sz w:val="24"/>
          <w:szCs w:val="24"/>
        </w:rPr>
        <w:t xml:space="preserve"> </w:t>
      </w:r>
      <w:proofErr w:type="spellStart"/>
      <w:r w:rsidRPr="00F170A8">
        <w:rPr>
          <w:rFonts w:ascii="Times New Roman" w:hAnsi="Times New Roman"/>
          <w:i/>
          <w:sz w:val="24"/>
          <w:szCs w:val="24"/>
        </w:rPr>
        <w:t>Mondială</w:t>
      </w:r>
      <w:proofErr w:type="spellEnd"/>
      <w:r w:rsidRPr="00F170A8">
        <w:rPr>
          <w:rFonts w:ascii="Times New Roman" w:hAnsi="Times New Roman"/>
          <w:i/>
          <w:sz w:val="24"/>
          <w:szCs w:val="24"/>
        </w:rPr>
        <w:t xml:space="preserve"> a </w:t>
      </w:r>
      <w:proofErr w:type="spellStart"/>
      <w:r w:rsidRPr="00F170A8">
        <w:rPr>
          <w:rFonts w:ascii="Times New Roman" w:hAnsi="Times New Roman"/>
          <w:i/>
          <w:sz w:val="24"/>
          <w:szCs w:val="24"/>
        </w:rPr>
        <w:t>Drepturilor</w:t>
      </w:r>
      <w:proofErr w:type="spellEnd"/>
      <w:r w:rsidRPr="00F170A8">
        <w:rPr>
          <w:rFonts w:ascii="Times New Roman" w:hAnsi="Times New Roman"/>
          <w:i/>
          <w:sz w:val="24"/>
          <w:szCs w:val="24"/>
        </w:rPr>
        <w:t xml:space="preserve"> </w:t>
      </w:r>
      <w:proofErr w:type="spellStart"/>
      <w:r w:rsidRPr="00F170A8">
        <w:rPr>
          <w:rFonts w:ascii="Times New Roman" w:hAnsi="Times New Roman"/>
          <w:i/>
          <w:sz w:val="24"/>
          <w:szCs w:val="24"/>
        </w:rPr>
        <w:t>Consumatorilor</w:t>
      </w:r>
      <w:proofErr w:type="spellEnd"/>
      <w:r w:rsidRPr="00F170A8">
        <w:rPr>
          <w:rFonts w:ascii="Times New Roman" w:hAnsi="Times New Roman"/>
          <w:i/>
          <w:sz w:val="24"/>
          <w:szCs w:val="24"/>
        </w:rPr>
        <w:t xml:space="preserve"> - 15 </w:t>
      </w:r>
      <w:proofErr w:type="spellStart"/>
      <w:r w:rsidRPr="00F170A8">
        <w:rPr>
          <w:rFonts w:ascii="Times New Roman" w:hAnsi="Times New Roman"/>
          <w:i/>
          <w:sz w:val="24"/>
          <w:szCs w:val="24"/>
        </w:rPr>
        <w:t>Martie</w:t>
      </w:r>
      <w:proofErr w:type="spellEnd"/>
      <w:r w:rsidRPr="00F170A8">
        <w:rPr>
          <w:rFonts w:ascii="Times New Roman" w:hAnsi="Times New Roman"/>
          <w:i/>
          <w:sz w:val="24"/>
          <w:szCs w:val="24"/>
        </w:rPr>
        <w:t>;</w:t>
      </w:r>
    </w:p>
    <w:p w:rsidR="00903446" w:rsidRPr="00F170A8" w:rsidRDefault="00903446" w:rsidP="00F170A8">
      <w:pPr>
        <w:pStyle w:val="ListParagraph"/>
        <w:numPr>
          <w:ilvl w:val="0"/>
          <w:numId w:val="32"/>
        </w:numPr>
        <w:rPr>
          <w:rFonts w:ascii="Times New Roman" w:hAnsi="Times New Roman"/>
          <w:i/>
          <w:sz w:val="24"/>
          <w:szCs w:val="24"/>
        </w:rPr>
      </w:pPr>
      <w:r w:rsidRPr="00F170A8">
        <w:rPr>
          <w:rFonts w:ascii="Times New Roman" w:hAnsi="Times New Roman"/>
          <w:i/>
          <w:sz w:val="24"/>
          <w:szCs w:val="24"/>
        </w:rPr>
        <w:t>„</w:t>
      </w:r>
      <w:proofErr w:type="spellStart"/>
      <w:r w:rsidRPr="00F170A8">
        <w:rPr>
          <w:rFonts w:ascii="Times New Roman" w:hAnsi="Times New Roman"/>
          <w:i/>
          <w:sz w:val="24"/>
          <w:szCs w:val="24"/>
        </w:rPr>
        <w:t>Orășelul</w:t>
      </w:r>
      <w:proofErr w:type="spellEnd"/>
      <w:r w:rsidRPr="00F170A8">
        <w:rPr>
          <w:rFonts w:ascii="Times New Roman" w:hAnsi="Times New Roman"/>
          <w:i/>
          <w:sz w:val="24"/>
          <w:szCs w:val="24"/>
        </w:rPr>
        <w:t xml:space="preserve"> European”;</w:t>
      </w:r>
    </w:p>
    <w:p w:rsidR="00903446" w:rsidRPr="00F170A8" w:rsidRDefault="00F170A8" w:rsidP="00F170A8">
      <w:pPr>
        <w:pStyle w:val="ListParagraph"/>
        <w:numPr>
          <w:ilvl w:val="0"/>
          <w:numId w:val="32"/>
        </w:numPr>
        <w:rPr>
          <w:rFonts w:ascii="Times New Roman" w:hAnsi="Times New Roman"/>
          <w:i/>
          <w:sz w:val="24"/>
          <w:szCs w:val="24"/>
        </w:rPr>
      </w:pPr>
      <w:r>
        <w:rPr>
          <w:rFonts w:ascii="Times New Roman" w:hAnsi="Times New Roman"/>
          <w:i/>
          <w:sz w:val="24"/>
          <w:szCs w:val="24"/>
        </w:rPr>
        <w:t xml:space="preserve">„Ziua </w:t>
      </w:r>
      <w:proofErr w:type="spellStart"/>
      <w:r>
        <w:rPr>
          <w:rFonts w:ascii="Times New Roman" w:hAnsi="Times New Roman"/>
          <w:i/>
          <w:sz w:val="24"/>
          <w:szCs w:val="24"/>
        </w:rPr>
        <w:t>mondială</w:t>
      </w:r>
      <w:proofErr w:type="spellEnd"/>
      <w:r w:rsidR="00903446" w:rsidRPr="00F170A8">
        <w:rPr>
          <w:rFonts w:ascii="Times New Roman" w:hAnsi="Times New Roman"/>
          <w:i/>
          <w:sz w:val="24"/>
          <w:szCs w:val="24"/>
        </w:rPr>
        <w:t xml:space="preserve"> a </w:t>
      </w:r>
      <w:proofErr w:type="spellStart"/>
      <w:r w:rsidR="00903446" w:rsidRPr="00F170A8">
        <w:rPr>
          <w:rFonts w:ascii="Times New Roman" w:hAnsi="Times New Roman"/>
          <w:i/>
          <w:sz w:val="24"/>
          <w:szCs w:val="24"/>
        </w:rPr>
        <w:t>metrologiei</w:t>
      </w:r>
      <w:proofErr w:type="spellEnd"/>
      <w:r w:rsidR="00903446" w:rsidRPr="00F170A8">
        <w:rPr>
          <w:rFonts w:ascii="Times New Roman" w:hAnsi="Times New Roman"/>
          <w:i/>
          <w:sz w:val="24"/>
          <w:szCs w:val="24"/>
        </w:rPr>
        <w:t>”;</w:t>
      </w:r>
    </w:p>
    <w:p w:rsidR="00903446" w:rsidRPr="00F170A8" w:rsidRDefault="00F170A8" w:rsidP="00F170A8">
      <w:pPr>
        <w:pStyle w:val="ListParagraph"/>
        <w:numPr>
          <w:ilvl w:val="0"/>
          <w:numId w:val="32"/>
        </w:numPr>
        <w:rPr>
          <w:rFonts w:ascii="Times New Roman" w:hAnsi="Times New Roman"/>
          <w:i/>
          <w:sz w:val="24"/>
          <w:szCs w:val="24"/>
        </w:rPr>
      </w:pPr>
      <w:r>
        <w:rPr>
          <w:rFonts w:ascii="Times New Roman" w:hAnsi="Times New Roman"/>
          <w:i/>
          <w:sz w:val="24"/>
          <w:szCs w:val="24"/>
        </w:rPr>
        <w:t xml:space="preserve">„Ziua </w:t>
      </w:r>
      <w:proofErr w:type="spellStart"/>
      <w:r>
        <w:rPr>
          <w:rFonts w:ascii="Times New Roman" w:hAnsi="Times New Roman"/>
          <w:i/>
          <w:sz w:val="24"/>
          <w:szCs w:val="24"/>
        </w:rPr>
        <w:t>Națională</w:t>
      </w:r>
      <w:proofErr w:type="spellEnd"/>
      <w:r w:rsidR="00903446" w:rsidRPr="00F170A8">
        <w:rPr>
          <w:rFonts w:ascii="Times New Roman" w:hAnsi="Times New Roman"/>
          <w:i/>
          <w:sz w:val="24"/>
          <w:szCs w:val="24"/>
        </w:rPr>
        <w:t xml:space="preserve"> a </w:t>
      </w:r>
      <w:proofErr w:type="spellStart"/>
      <w:r w:rsidR="00903446" w:rsidRPr="00F170A8">
        <w:rPr>
          <w:rFonts w:ascii="Times New Roman" w:hAnsi="Times New Roman"/>
          <w:i/>
          <w:sz w:val="24"/>
          <w:szCs w:val="24"/>
        </w:rPr>
        <w:t>vinului</w:t>
      </w:r>
      <w:proofErr w:type="spellEnd"/>
      <w:r w:rsidR="00903446" w:rsidRPr="00F170A8">
        <w:rPr>
          <w:rFonts w:ascii="Times New Roman" w:hAnsi="Times New Roman"/>
          <w:i/>
          <w:sz w:val="24"/>
          <w:szCs w:val="24"/>
        </w:rPr>
        <w:t xml:space="preserve"> 2019”;</w:t>
      </w:r>
    </w:p>
    <w:p w:rsidR="00903446" w:rsidRPr="00F170A8" w:rsidRDefault="00903446" w:rsidP="00F170A8">
      <w:pPr>
        <w:pStyle w:val="ListParagraph"/>
        <w:numPr>
          <w:ilvl w:val="0"/>
          <w:numId w:val="32"/>
        </w:numPr>
        <w:rPr>
          <w:rFonts w:ascii="Times New Roman" w:hAnsi="Times New Roman"/>
          <w:i/>
          <w:sz w:val="24"/>
          <w:szCs w:val="24"/>
        </w:rPr>
      </w:pPr>
      <w:r w:rsidRPr="00F170A8">
        <w:rPr>
          <w:rFonts w:ascii="Times New Roman" w:hAnsi="Times New Roman"/>
          <w:i/>
          <w:sz w:val="24"/>
          <w:szCs w:val="24"/>
        </w:rPr>
        <w:t xml:space="preserve">„Ziua </w:t>
      </w:r>
      <w:proofErr w:type="spellStart"/>
      <w:r w:rsidRPr="00F170A8">
        <w:rPr>
          <w:rFonts w:ascii="Times New Roman" w:hAnsi="Times New Roman"/>
          <w:i/>
          <w:sz w:val="24"/>
          <w:szCs w:val="24"/>
        </w:rPr>
        <w:t>ușilor</w:t>
      </w:r>
      <w:proofErr w:type="spellEnd"/>
      <w:r w:rsidRPr="00F170A8">
        <w:rPr>
          <w:rFonts w:ascii="Times New Roman" w:hAnsi="Times New Roman"/>
          <w:i/>
          <w:sz w:val="24"/>
          <w:szCs w:val="24"/>
        </w:rPr>
        <w:t xml:space="preserve"> </w:t>
      </w:r>
      <w:proofErr w:type="spellStart"/>
      <w:r w:rsidRPr="00F170A8">
        <w:rPr>
          <w:rFonts w:ascii="Times New Roman" w:hAnsi="Times New Roman"/>
          <w:i/>
          <w:sz w:val="24"/>
          <w:szCs w:val="24"/>
        </w:rPr>
        <w:t>deschise</w:t>
      </w:r>
      <w:proofErr w:type="spellEnd"/>
      <w:r w:rsidRPr="00F170A8">
        <w:rPr>
          <w:rFonts w:ascii="Times New Roman" w:hAnsi="Times New Roman"/>
          <w:i/>
          <w:sz w:val="24"/>
          <w:szCs w:val="24"/>
        </w:rPr>
        <w:t xml:space="preserve">”, </w:t>
      </w:r>
      <w:proofErr w:type="spellStart"/>
      <w:r w:rsidRPr="00F170A8">
        <w:rPr>
          <w:rFonts w:ascii="Times New Roman" w:hAnsi="Times New Roman"/>
          <w:sz w:val="24"/>
          <w:szCs w:val="24"/>
        </w:rPr>
        <w:t>lansată</w:t>
      </w:r>
      <w:proofErr w:type="spellEnd"/>
      <w:r w:rsidRPr="00F170A8">
        <w:rPr>
          <w:rFonts w:ascii="Times New Roman" w:hAnsi="Times New Roman"/>
          <w:sz w:val="24"/>
          <w:szCs w:val="24"/>
        </w:rPr>
        <w:t xml:space="preserve"> </w:t>
      </w:r>
      <w:proofErr w:type="spellStart"/>
      <w:r w:rsidRPr="00F170A8">
        <w:rPr>
          <w:rFonts w:ascii="Times New Roman" w:hAnsi="Times New Roman"/>
          <w:sz w:val="24"/>
          <w:szCs w:val="24"/>
        </w:rPr>
        <w:t>în</w:t>
      </w:r>
      <w:proofErr w:type="spellEnd"/>
      <w:r w:rsidRPr="00F170A8">
        <w:rPr>
          <w:rFonts w:ascii="Times New Roman" w:hAnsi="Times New Roman"/>
          <w:sz w:val="24"/>
          <w:szCs w:val="24"/>
        </w:rPr>
        <w:t xml:space="preserve"> </w:t>
      </w:r>
      <w:proofErr w:type="spellStart"/>
      <w:r w:rsidRPr="00F170A8">
        <w:rPr>
          <w:rFonts w:ascii="Times New Roman" w:hAnsi="Times New Roman"/>
          <w:sz w:val="24"/>
          <w:szCs w:val="24"/>
        </w:rPr>
        <w:t>premieră</w:t>
      </w:r>
      <w:proofErr w:type="spellEnd"/>
      <w:r w:rsidRPr="00F170A8">
        <w:rPr>
          <w:rFonts w:ascii="Times New Roman" w:hAnsi="Times New Roman"/>
          <w:sz w:val="24"/>
          <w:szCs w:val="24"/>
        </w:rPr>
        <w:t xml:space="preserve"> </w:t>
      </w:r>
      <w:proofErr w:type="spellStart"/>
      <w:r w:rsidRPr="00F170A8">
        <w:rPr>
          <w:rFonts w:ascii="Times New Roman" w:hAnsi="Times New Roman"/>
          <w:sz w:val="24"/>
          <w:szCs w:val="24"/>
        </w:rPr>
        <w:t>în</w:t>
      </w:r>
      <w:proofErr w:type="spellEnd"/>
      <w:r w:rsidRPr="00F170A8">
        <w:rPr>
          <w:rFonts w:ascii="Times New Roman" w:hAnsi="Times New Roman"/>
          <w:sz w:val="24"/>
          <w:szCs w:val="24"/>
        </w:rPr>
        <w:t xml:space="preserve"> </w:t>
      </w:r>
      <w:proofErr w:type="spellStart"/>
      <w:r w:rsidRPr="00F170A8">
        <w:rPr>
          <w:rFonts w:ascii="Times New Roman" w:hAnsi="Times New Roman"/>
          <w:sz w:val="24"/>
          <w:szCs w:val="24"/>
        </w:rPr>
        <w:t>cadrul</w:t>
      </w:r>
      <w:proofErr w:type="spellEnd"/>
      <w:r w:rsidRPr="00F170A8">
        <w:rPr>
          <w:rFonts w:ascii="Times New Roman" w:hAnsi="Times New Roman"/>
          <w:sz w:val="24"/>
          <w:szCs w:val="24"/>
        </w:rPr>
        <w:t xml:space="preserve"> </w:t>
      </w:r>
      <w:proofErr w:type="spellStart"/>
      <w:r w:rsidRPr="00F170A8">
        <w:rPr>
          <w:rFonts w:ascii="Times New Roman" w:hAnsi="Times New Roman"/>
          <w:sz w:val="24"/>
          <w:szCs w:val="24"/>
        </w:rPr>
        <w:t>Agenției</w:t>
      </w:r>
      <w:proofErr w:type="spellEnd"/>
      <w:r w:rsidRPr="00F170A8">
        <w:rPr>
          <w:rFonts w:ascii="Times New Roman" w:hAnsi="Times New Roman"/>
          <w:sz w:val="24"/>
          <w:szCs w:val="24"/>
        </w:rPr>
        <w:t xml:space="preserve">. </w:t>
      </w:r>
    </w:p>
    <w:p w:rsidR="00903446" w:rsidRPr="00F170A8" w:rsidRDefault="00F170A8" w:rsidP="00583426">
      <w:pPr>
        <w:pStyle w:val="ListParagraph"/>
        <w:tabs>
          <w:tab w:val="left" w:pos="0"/>
        </w:tabs>
        <w:spacing w:after="0" w:line="240" w:lineRule="auto"/>
        <w:ind w:left="0" w:firstLine="720"/>
        <w:contextualSpacing w:val="0"/>
        <w:jc w:val="both"/>
        <w:rPr>
          <w:rFonts w:ascii="Times New Roman" w:hAnsi="Times New Roman"/>
          <w:sz w:val="24"/>
          <w:szCs w:val="24"/>
          <w:lang w:val="ro-RO"/>
        </w:rPr>
      </w:pPr>
      <w:r>
        <w:rPr>
          <w:rFonts w:ascii="Times New Roman" w:hAnsi="Times New Roman"/>
          <w:sz w:val="24"/>
          <w:szCs w:val="24"/>
          <w:lang w:val="ro-RO"/>
        </w:rPr>
        <w:t>Suplimentar, a</w:t>
      </w:r>
      <w:r w:rsidR="00903446" w:rsidRPr="00866277">
        <w:rPr>
          <w:rFonts w:ascii="Times New Roman" w:hAnsi="Times New Roman"/>
          <w:sz w:val="24"/>
          <w:szCs w:val="24"/>
          <w:lang w:val="ro-RO"/>
        </w:rPr>
        <w:t>u fost înregistrate</w:t>
      </w:r>
      <w:r w:rsidR="00903446" w:rsidRPr="00866277">
        <w:rPr>
          <w:rFonts w:ascii="Times New Roman" w:hAnsi="Times New Roman"/>
          <w:b/>
          <w:sz w:val="24"/>
          <w:szCs w:val="24"/>
          <w:lang w:val="ro-RO"/>
        </w:rPr>
        <w:t xml:space="preserve"> </w:t>
      </w:r>
      <w:r w:rsidR="00903446" w:rsidRPr="00F170A8">
        <w:rPr>
          <w:rFonts w:ascii="Times New Roman" w:hAnsi="Times New Roman"/>
          <w:sz w:val="24"/>
          <w:szCs w:val="24"/>
          <w:lang w:val="ro-RO"/>
        </w:rPr>
        <w:t xml:space="preserve">155 apariții media (TV/Radio/presa scrisă), </w:t>
      </w:r>
      <w:r w:rsidR="00903446" w:rsidRPr="00F170A8">
        <w:rPr>
          <w:rFonts w:ascii="Times New Roman" w:hAnsi="Times New Roman"/>
          <w:sz w:val="24"/>
          <w:szCs w:val="24"/>
          <w:lang w:val="ro-RO" w:eastAsia="en-GB"/>
        </w:rPr>
        <w:t>plasate pe pagina web 91 comunicate de presă/informații utile, dedicate consumatorilor și mediului de afaceri.</w:t>
      </w:r>
    </w:p>
    <w:p w:rsidR="00903446" w:rsidRPr="00866277" w:rsidRDefault="00903446" w:rsidP="00583426">
      <w:pPr>
        <w:ind w:firstLine="720"/>
        <w:jc w:val="both"/>
        <w:rPr>
          <w:lang w:val="ro-RO"/>
        </w:rPr>
      </w:pPr>
      <w:r w:rsidRPr="00F170A8">
        <w:rPr>
          <w:lang w:val="ro-RO"/>
        </w:rPr>
        <w:t>Au fost difuzate în total 46665 exemplare</w:t>
      </w:r>
      <w:r w:rsidRPr="00866277">
        <w:rPr>
          <w:b/>
          <w:lang w:val="ro-RO"/>
        </w:rPr>
        <w:t xml:space="preserve"> </w:t>
      </w:r>
      <w:r w:rsidRPr="00866277">
        <w:rPr>
          <w:lang w:val="ro-RO"/>
        </w:rPr>
        <w:t>de materiale informaționale, inclusiv 41302</w:t>
      </w:r>
      <w:r w:rsidRPr="00866277">
        <w:rPr>
          <w:i/>
          <w:lang w:val="ro-RO"/>
        </w:rPr>
        <w:t xml:space="preserve"> pliante, 16 fișe informaționale, 80 broșuri „ABC-</w:t>
      </w:r>
      <w:proofErr w:type="spellStart"/>
      <w:r w:rsidRPr="00866277">
        <w:rPr>
          <w:i/>
          <w:lang w:val="ro-RO"/>
        </w:rPr>
        <w:t>ul</w:t>
      </w:r>
      <w:proofErr w:type="spellEnd"/>
      <w:r w:rsidRPr="00866277">
        <w:rPr>
          <w:i/>
          <w:lang w:val="ro-RO"/>
        </w:rPr>
        <w:t xml:space="preserve"> cumpărătorului on-line”, 2400 postere, 1000 exemplare de cărți „Cazuri de succes”</w:t>
      </w:r>
      <w:r w:rsidRPr="00866277">
        <w:rPr>
          <w:lang w:val="ro-RO"/>
        </w:rPr>
        <w:t xml:space="preserve">, alte materiale în 1868 exemplare. </w:t>
      </w:r>
    </w:p>
    <w:p w:rsidR="0013545C" w:rsidRPr="00866277" w:rsidRDefault="0013545C" w:rsidP="00583426">
      <w:pPr>
        <w:ind w:firstLine="720"/>
        <w:jc w:val="both"/>
        <w:rPr>
          <w:rFonts w:eastAsia="Times New Roman"/>
          <w:lang w:val="ro-RO"/>
        </w:rPr>
      </w:pPr>
      <w:r w:rsidRPr="00866277">
        <w:rPr>
          <w:rFonts w:eastAsia="Times New Roman"/>
          <w:lang w:val="ro-RO"/>
        </w:rPr>
        <w:t>Banca Națională a Moldovei (BNM) a  desfășurat 12 campanii de informare și a pus baza unei campanii informaționale ulterioare (prin semn</w:t>
      </w:r>
      <w:r w:rsidR="00F170A8">
        <w:rPr>
          <w:rFonts w:eastAsia="Times New Roman"/>
          <w:lang w:val="ro-RO"/>
        </w:rPr>
        <w:t>area unui acord de parteneriat).</w:t>
      </w:r>
    </w:p>
    <w:p w:rsidR="0013545C" w:rsidRPr="00866277" w:rsidRDefault="0013545C" w:rsidP="00583426">
      <w:pPr>
        <w:ind w:firstLine="720"/>
        <w:jc w:val="both"/>
        <w:rPr>
          <w:rFonts w:eastAsia="Times New Roman"/>
          <w:lang w:val="ro-RO"/>
        </w:rPr>
      </w:pPr>
      <w:r w:rsidRPr="00866277">
        <w:rPr>
          <w:rFonts w:eastAsia="Times New Roman"/>
          <w:lang w:val="ro-RO"/>
        </w:rPr>
        <w:t xml:space="preserve">În perioada 25-29 martie 2019, BNM a aderat  alături de comunitatea internațională  la Săptămâna Internațională a Educației Financiare, coordonată la nivel global de organizația </w:t>
      </w:r>
      <w:proofErr w:type="spellStart"/>
      <w:r w:rsidRPr="00866277">
        <w:rPr>
          <w:rFonts w:eastAsia="Times New Roman"/>
          <w:lang w:val="ro-RO"/>
        </w:rPr>
        <w:t>Child</w:t>
      </w:r>
      <w:proofErr w:type="spellEnd"/>
      <w:r w:rsidRPr="00866277">
        <w:rPr>
          <w:rFonts w:eastAsia="Times New Roman"/>
          <w:lang w:val="ro-RO"/>
        </w:rPr>
        <w:t xml:space="preserve"> </w:t>
      </w:r>
      <w:proofErr w:type="spellStart"/>
      <w:r w:rsidRPr="00866277">
        <w:rPr>
          <w:rFonts w:eastAsia="Times New Roman"/>
          <w:lang w:val="ro-RO"/>
        </w:rPr>
        <w:t>and</w:t>
      </w:r>
      <w:proofErr w:type="spellEnd"/>
      <w:r w:rsidRPr="00866277">
        <w:rPr>
          <w:rFonts w:eastAsia="Times New Roman"/>
          <w:lang w:val="ro-RO"/>
        </w:rPr>
        <w:t xml:space="preserve"> Youth </w:t>
      </w:r>
      <w:proofErr w:type="spellStart"/>
      <w:r w:rsidRPr="00866277">
        <w:rPr>
          <w:rFonts w:eastAsia="Times New Roman"/>
          <w:lang w:val="ro-RO"/>
        </w:rPr>
        <w:t>Finance</w:t>
      </w:r>
      <w:proofErr w:type="spellEnd"/>
      <w:r w:rsidRPr="00866277">
        <w:rPr>
          <w:rFonts w:eastAsia="Times New Roman"/>
          <w:lang w:val="ro-RO"/>
        </w:rPr>
        <w:t xml:space="preserve"> International. În cadrul acestei perioade, BNM a primit în vizită  2000 de elevi de toate vârstele, precum și studenți din mun. Chișinău și raioanele Republicii Moldova. Aceștia au beneficiat de prezentări ale specialiștilor BNM la subiectul financiar-bancar și au vizitat sala de expoziții a BNM. </w:t>
      </w:r>
    </w:p>
    <w:p w:rsidR="0013545C" w:rsidRPr="00866277" w:rsidRDefault="0013545C" w:rsidP="00583426">
      <w:pPr>
        <w:pStyle w:val="ListParagraph"/>
        <w:spacing w:after="0" w:line="240" w:lineRule="auto"/>
        <w:ind w:left="0" w:firstLine="720"/>
        <w:contextualSpacing w:val="0"/>
        <w:jc w:val="both"/>
        <w:rPr>
          <w:rFonts w:ascii="Times New Roman" w:hAnsi="Times New Roman"/>
          <w:sz w:val="24"/>
          <w:szCs w:val="24"/>
          <w:lang w:val="ro-RO"/>
        </w:rPr>
      </w:pPr>
      <w:r w:rsidRPr="00866277">
        <w:rPr>
          <w:rFonts w:ascii="Times New Roman" w:hAnsi="Times New Roman"/>
          <w:sz w:val="24"/>
          <w:szCs w:val="24"/>
          <w:lang w:val="ro-RO"/>
        </w:rPr>
        <w:t xml:space="preserve">Evenimentul a fost mediatizat prin 22 materiale media, dintre care 10 la TV. Pe profilul de Facebook, </w:t>
      </w:r>
      <w:proofErr w:type="spellStart"/>
      <w:r w:rsidRPr="00866277">
        <w:rPr>
          <w:rFonts w:ascii="Times New Roman" w:hAnsi="Times New Roman"/>
          <w:sz w:val="24"/>
          <w:szCs w:val="24"/>
          <w:lang w:val="ro-RO"/>
        </w:rPr>
        <w:t>promo</w:t>
      </w:r>
      <w:proofErr w:type="spellEnd"/>
      <w:r w:rsidRPr="00866277">
        <w:rPr>
          <w:rFonts w:ascii="Times New Roman" w:hAnsi="Times New Roman"/>
          <w:sz w:val="24"/>
          <w:szCs w:val="24"/>
          <w:lang w:val="ro-RO"/>
        </w:rPr>
        <w:t xml:space="preserve"> ”O călătorie în lumea banilor” a fost vizualizat de peste 2100 de utilizatori. Materialul video de la postul TVR Moldova, despre vizitele elevilor la BNM, a fost vizualizat de peste 1700 de utilizatori. </w:t>
      </w:r>
      <w:proofErr w:type="spellStart"/>
      <w:r w:rsidRPr="00866277">
        <w:rPr>
          <w:rFonts w:ascii="Times New Roman" w:hAnsi="Times New Roman"/>
          <w:sz w:val="24"/>
          <w:szCs w:val="24"/>
          <w:lang w:val="ro-RO"/>
        </w:rPr>
        <w:t>Promo</w:t>
      </w:r>
      <w:proofErr w:type="spellEnd"/>
      <w:r w:rsidRPr="00866277">
        <w:rPr>
          <w:rFonts w:ascii="Times New Roman" w:hAnsi="Times New Roman"/>
          <w:sz w:val="24"/>
          <w:szCs w:val="24"/>
          <w:lang w:val="ro-RO"/>
        </w:rPr>
        <w:t xml:space="preserve"> de pe profilul BNM pe Facebook pentru ”Global Money </w:t>
      </w:r>
      <w:proofErr w:type="spellStart"/>
      <w:r w:rsidRPr="00866277">
        <w:rPr>
          <w:rFonts w:ascii="Times New Roman" w:hAnsi="Times New Roman"/>
          <w:sz w:val="24"/>
          <w:szCs w:val="24"/>
          <w:lang w:val="ro-RO"/>
        </w:rPr>
        <w:t>Week</w:t>
      </w:r>
      <w:proofErr w:type="spellEnd"/>
      <w:r w:rsidRPr="00866277">
        <w:rPr>
          <w:rFonts w:ascii="Times New Roman" w:hAnsi="Times New Roman"/>
          <w:sz w:val="24"/>
          <w:szCs w:val="24"/>
          <w:lang w:val="ro-RO"/>
        </w:rPr>
        <w:t>” a adunat peste 1900 de vizualizări.</w:t>
      </w:r>
    </w:p>
    <w:p w:rsidR="0013545C" w:rsidRPr="00866277" w:rsidRDefault="0013545C" w:rsidP="00583426">
      <w:pPr>
        <w:pStyle w:val="ListParagraph"/>
        <w:spacing w:after="0" w:line="240" w:lineRule="auto"/>
        <w:ind w:left="0" w:firstLine="720"/>
        <w:contextualSpacing w:val="0"/>
        <w:jc w:val="both"/>
        <w:rPr>
          <w:rFonts w:ascii="Times New Roman" w:hAnsi="Times New Roman"/>
          <w:sz w:val="24"/>
          <w:szCs w:val="24"/>
          <w:lang w:val="ro-RO"/>
        </w:rPr>
      </w:pPr>
      <w:r w:rsidRPr="00866277">
        <w:rPr>
          <w:rFonts w:ascii="Times New Roman" w:hAnsi="Times New Roman"/>
          <w:sz w:val="24"/>
          <w:szCs w:val="24"/>
          <w:lang w:val="ro-RO"/>
        </w:rPr>
        <w:t>De asemenea, în cadrul acestei campanii,  experții BNM au susținut prelegeri la diverse teme din domeniul financiar-bancar la următoarele instituții de învățământ: Universitatea de Stat din Moldova, Colegiul Național de Comerț al ASEM, Universitatea de Stat din Cahul „B.P. Hașdeu”, Colegiul Financiar Bancar, Institutul Internațional de Management IMI-NOVA, Universitatea Agrară de Stat din Moldova, Universitatea Tehnică din Moldova.</w:t>
      </w:r>
    </w:p>
    <w:p w:rsidR="0013545C" w:rsidRPr="00836232" w:rsidRDefault="0013545C" w:rsidP="00836232">
      <w:pPr>
        <w:pStyle w:val="ListParagraph"/>
        <w:spacing w:after="0" w:line="240" w:lineRule="auto"/>
        <w:ind w:left="0" w:firstLine="720"/>
        <w:contextualSpacing w:val="0"/>
        <w:jc w:val="both"/>
        <w:rPr>
          <w:rFonts w:ascii="Times New Roman" w:hAnsi="Times New Roman"/>
          <w:sz w:val="24"/>
          <w:szCs w:val="24"/>
          <w:lang w:val="ro-RO"/>
        </w:rPr>
      </w:pPr>
      <w:r w:rsidRPr="00866277">
        <w:rPr>
          <w:rFonts w:ascii="Times New Roman" w:hAnsi="Times New Roman"/>
          <w:sz w:val="24"/>
          <w:szCs w:val="24"/>
          <w:lang w:val="ro-RO"/>
        </w:rPr>
        <w:t xml:space="preserve">Pe 29 martie 2019, în cadrul unei conferințe, BNM în parteneriat cu Centrul Analitic Independent „Expert-Grup” a lansat proiectul de educație financiară „Învață! Dă sens banilor”. În acest sens, a fost semnat și un Acord de parteneriat. Proiectul urmează a fi realizat în decursul unui an, cu scopul de a crește nivelul de cunoștințe al populației în ceea ce privește gestionarea veniturilor personale, pentru „a da sens banilor”. </w:t>
      </w:r>
      <w:r w:rsidRPr="00836232">
        <w:rPr>
          <w:rFonts w:ascii="Times New Roman" w:hAnsi="Times New Roman"/>
          <w:sz w:val="24"/>
          <w:szCs w:val="24"/>
          <w:lang w:val="ro-RO"/>
        </w:rPr>
        <w:t xml:space="preserve">Proiectul este destinat, în mod special, adolescenților și tinerilor, antreprenorilor începători și persoanelor angajate în câmpul muncii, dar va ține cont și de nevoile altor categorii de populație care interacționează activ cu sistemul financiar. </w:t>
      </w:r>
    </w:p>
    <w:p w:rsidR="0013545C" w:rsidRPr="00866277" w:rsidRDefault="0013545C" w:rsidP="00583426">
      <w:pPr>
        <w:ind w:firstLine="720"/>
        <w:jc w:val="both"/>
        <w:rPr>
          <w:rFonts w:eastAsia="Times New Roman"/>
          <w:lang w:val="ro-RO"/>
        </w:rPr>
      </w:pPr>
      <w:r w:rsidRPr="00866277">
        <w:rPr>
          <w:rFonts w:eastAsia="Times New Roman"/>
          <w:lang w:val="ro-RO"/>
        </w:rPr>
        <w:t xml:space="preserve">În acest context, a fost creat un nou canal de comunicare pe Facebook, pentru a promova activitățile în cadrul proiectului: </w:t>
      </w:r>
      <w:hyperlink r:id="rId10" w:history="1">
        <w:r w:rsidRPr="00866277">
          <w:rPr>
            <w:rFonts w:eastAsia="Times New Roman"/>
            <w:i/>
            <w:lang w:val="ro-RO"/>
          </w:rPr>
          <w:t>https://www.facebook.com/dasensbanilor/</w:t>
        </w:r>
      </w:hyperlink>
      <w:r w:rsidRPr="00866277">
        <w:rPr>
          <w:rFonts w:eastAsia="Times New Roman"/>
          <w:lang w:val="ro-RO"/>
        </w:rPr>
        <w:t>.</w:t>
      </w:r>
    </w:p>
    <w:p w:rsidR="0013545C" w:rsidRPr="00866277" w:rsidRDefault="0013545C" w:rsidP="00583426">
      <w:pPr>
        <w:ind w:firstLine="720"/>
        <w:jc w:val="both"/>
        <w:rPr>
          <w:rFonts w:eastAsia="Times New Roman"/>
          <w:lang w:val="ro-RO"/>
        </w:rPr>
      </w:pPr>
      <w:r w:rsidRPr="00866277">
        <w:rPr>
          <w:rFonts w:eastAsia="Times New Roman"/>
          <w:lang w:val="ro-RO"/>
        </w:rPr>
        <w:t>În urma lansării proiectului, au fost desfășurate dezbateri cu implicarea grupului-țintă în diferite regiuni ale țării:</w:t>
      </w:r>
    </w:p>
    <w:p w:rsidR="0013545C" w:rsidRPr="00866277" w:rsidRDefault="0013545C" w:rsidP="00583426">
      <w:pPr>
        <w:ind w:firstLine="720"/>
        <w:jc w:val="both"/>
        <w:rPr>
          <w:rFonts w:eastAsia="Times New Roman"/>
          <w:lang w:val="ro-RO"/>
        </w:rPr>
      </w:pPr>
      <w:r w:rsidRPr="00866277">
        <w:rPr>
          <w:rFonts w:eastAsia="Times New Roman"/>
          <w:lang w:val="ro-RO"/>
        </w:rPr>
        <w:t>- Chișinău - Academia de Studii Economice din Moldova</w:t>
      </w:r>
      <w:r w:rsidRPr="00866277">
        <w:rPr>
          <w:lang w:val="ro-RO"/>
        </w:rPr>
        <w:t xml:space="preserve">, </w:t>
      </w:r>
      <w:r w:rsidRPr="00866277">
        <w:rPr>
          <w:rFonts w:eastAsia="Times New Roman"/>
          <w:lang w:val="ro-RO"/>
        </w:rPr>
        <w:t>Universitatea de Stat din Moldova;</w:t>
      </w:r>
    </w:p>
    <w:p w:rsidR="0013545C" w:rsidRPr="00866277" w:rsidRDefault="00537BE6" w:rsidP="00583426">
      <w:pPr>
        <w:ind w:firstLine="720"/>
        <w:jc w:val="both"/>
        <w:rPr>
          <w:rFonts w:eastAsia="Times New Roman"/>
          <w:lang w:val="ro-RO"/>
        </w:rPr>
      </w:pPr>
      <w:r>
        <w:rPr>
          <w:rFonts w:eastAsia="Times New Roman"/>
          <w:lang w:val="ro-RO"/>
        </w:rPr>
        <w:t xml:space="preserve">- </w:t>
      </w:r>
      <w:r w:rsidR="0013545C" w:rsidRPr="00866277">
        <w:rPr>
          <w:rFonts w:eastAsia="Times New Roman"/>
          <w:lang w:val="ro-RO"/>
        </w:rPr>
        <w:t>Cahul - Universitatea de Stat „B. P. Hașdeu";</w:t>
      </w:r>
    </w:p>
    <w:p w:rsidR="0013545C" w:rsidRPr="00866277" w:rsidRDefault="0013545C" w:rsidP="00583426">
      <w:pPr>
        <w:ind w:firstLine="720"/>
        <w:jc w:val="both"/>
        <w:rPr>
          <w:rFonts w:eastAsia="Times New Roman"/>
          <w:lang w:val="ro-RO"/>
        </w:rPr>
      </w:pPr>
      <w:r w:rsidRPr="00866277">
        <w:rPr>
          <w:rFonts w:eastAsia="Times New Roman"/>
          <w:lang w:val="ro-RO"/>
        </w:rPr>
        <w:t>-</w:t>
      </w:r>
      <w:r w:rsidR="00537BE6">
        <w:rPr>
          <w:rFonts w:eastAsia="Times New Roman"/>
          <w:lang w:val="ro-RO"/>
        </w:rPr>
        <w:t xml:space="preserve"> </w:t>
      </w:r>
      <w:r w:rsidRPr="00866277">
        <w:rPr>
          <w:rFonts w:eastAsia="Times New Roman"/>
          <w:lang w:val="ro-RO"/>
        </w:rPr>
        <w:t>Bălți - Universitatea de Stat „Alecu Russo”;</w:t>
      </w:r>
    </w:p>
    <w:p w:rsidR="0013545C" w:rsidRPr="00866277" w:rsidRDefault="0013545C" w:rsidP="00583426">
      <w:pPr>
        <w:ind w:firstLine="720"/>
        <w:jc w:val="both"/>
        <w:rPr>
          <w:rFonts w:eastAsia="Times New Roman"/>
          <w:lang w:val="ro-RO"/>
        </w:rPr>
      </w:pPr>
      <w:r w:rsidRPr="00866277">
        <w:rPr>
          <w:rFonts w:eastAsia="Times New Roman"/>
          <w:lang w:val="ro-RO"/>
        </w:rPr>
        <w:t>- Ungheni - Liceul „Mihai Eminescu";</w:t>
      </w:r>
    </w:p>
    <w:p w:rsidR="0013545C" w:rsidRPr="00866277" w:rsidRDefault="0013545C" w:rsidP="00583426">
      <w:pPr>
        <w:ind w:firstLine="720"/>
        <w:jc w:val="both"/>
        <w:rPr>
          <w:rFonts w:eastAsia="Times New Roman"/>
          <w:lang w:val="ro-RO"/>
        </w:rPr>
      </w:pPr>
      <w:r w:rsidRPr="00866277">
        <w:rPr>
          <w:rFonts w:eastAsia="Times New Roman"/>
          <w:lang w:val="ro-RO"/>
        </w:rPr>
        <w:t>- Comrat - Universitatea din Comrat.</w:t>
      </w:r>
    </w:p>
    <w:p w:rsidR="0013545C" w:rsidRPr="00866277" w:rsidRDefault="0013545C" w:rsidP="00583426">
      <w:pPr>
        <w:pStyle w:val="ListParagraph"/>
        <w:spacing w:after="0" w:line="240" w:lineRule="auto"/>
        <w:ind w:left="0" w:firstLine="720"/>
        <w:contextualSpacing w:val="0"/>
        <w:jc w:val="both"/>
        <w:rPr>
          <w:rFonts w:ascii="Times New Roman" w:hAnsi="Times New Roman"/>
          <w:sz w:val="24"/>
          <w:szCs w:val="24"/>
          <w:lang w:val="ro-RO"/>
        </w:rPr>
      </w:pPr>
      <w:r w:rsidRPr="00866277">
        <w:rPr>
          <w:rFonts w:ascii="Times New Roman" w:hAnsi="Times New Roman"/>
          <w:sz w:val="24"/>
          <w:szCs w:val="24"/>
          <w:lang w:val="ro-RO"/>
        </w:rPr>
        <w:t xml:space="preserve">La sesiunile de informare organizate de BNM în parteneriat cu Expert-Grup, în cadrul proiectul de educație financiară „Învață! Dă sens banilor” au participat peste 400 de elevi și studenți. Sesiunile </w:t>
      </w:r>
      <w:r w:rsidRPr="00866277">
        <w:rPr>
          <w:rFonts w:ascii="Times New Roman" w:hAnsi="Times New Roman"/>
          <w:sz w:val="24"/>
          <w:szCs w:val="24"/>
          <w:lang w:val="ro-RO"/>
        </w:rPr>
        <w:lastRenderedPageBreak/>
        <w:t>în cauză au inclus și un concurs la subiectul financiar-bancar, câștigătorii fiind premiați cu seturi de monetărie.</w:t>
      </w:r>
    </w:p>
    <w:p w:rsidR="0013545C" w:rsidRPr="00866277" w:rsidRDefault="0013545C" w:rsidP="00583426">
      <w:pPr>
        <w:pStyle w:val="ListParagraph"/>
        <w:spacing w:after="0" w:line="240" w:lineRule="auto"/>
        <w:ind w:left="0" w:firstLine="720"/>
        <w:contextualSpacing w:val="0"/>
        <w:jc w:val="both"/>
        <w:rPr>
          <w:rFonts w:ascii="Times New Roman" w:hAnsi="Times New Roman"/>
          <w:sz w:val="24"/>
          <w:szCs w:val="24"/>
          <w:lang w:val="ro-RO"/>
        </w:rPr>
      </w:pPr>
      <w:r w:rsidRPr="00866277">
        <w:rPr>
          <w:rFonts w:ascii="Times New Roman" w:hAnsi="Times New Roman"/>
          <w:sz w:val="24"/>
          <w:szCs w:val="24"/>
          <w:lang w:val="ro-RO"/>
        </w:rPr>
        <w:t>La 4 iunie 2019, BNM a anunțat Ziua ușilor deschise,  organizată cu prilejul aniversării a 18-a de  la fondarea BNM, în scopul promovării activităților băncii centrale. Vizitatori de diferite vârste au luat cunoștință de istoricul monedei naționale, semnele de siguranță ale bancnotelor ș.a. În cadrul proiectului de educație financiară „Învață! Dă sens banilor” de Ziua ușilor deschise la BNM a fost organizat și un concurs la subiectul financiar-bancar. Scopul acestuia a fost de a stimula interesul tinerilor pentru educația financiară, ceea ce va contribui la incluziunea financiară. Câștigătorii concursului au fost premiați cu seturi de monetărie.</w:t>
      </w:r>
    </w:p>
    <w:p w:rsidR="0013545C" w:rsidRPr="00866277" w:rsidRDefault="0013545C" w:rsidP="00583426">
      <w:pPr>
        <w:pStyle w:val="ListParagraph"/>
        <w:spacing w:after="0" w:line="240" w:lineRule="auto"/>
        <w:ind w:left="0" w:firstLine="720"/>
        <w:contextualSpacing w:val="0"/>
        <w:jc w:val="both"/>
        <w:rPr>
          <w:rFonts w:ascii="Times New Roman" w:hAnsi="Times New Roman"/>
          <w:sz w:val="24"/>
          <w:szCs w:val="24"/>
          <w:lang w:val="ro-RO"/>
        </w:rPr>
      </w:pPr>
      <w:r w:rsidRPr="00866277">
        <w:rPr>
          <w:rFonts w:ascii="Times New Roman" w:hAnsi="Times New Roman"/>
          <w:sz w:val="24"/>
          <w:szCs w:val="24"/>
          <w:lang w:val="ro-RO"/>
        </w:rPr>
        <w:t>BNM continuă organizarea seminarelor pentru jurnaliști, în scopul unei conlucrări profesionale și al aprofundării cunoștințelor  acestora în domeniul financiar-bancar. Obiectivul acestora este  informarea corectă a publicului și transmiterea clară a mesajului BNM, în susținerea credibilității sectorului bancar și a certitudinii în mediul de afaceri, caracteristici importante ale stabilității financiare.</w:t>
      </w:r>
    </w:p>
    <w:p w:rsidR="0013545C" w:rsidRPr="00866277" w:rsidRDefault="0013545C" w:rsidP="00583426">
      <w:pPr>
        <w:pStyle w:val="ListParagraph"/>
        <w:spacing w:after="0" w:line="240" w:lineRule="auto"/>
        <w:ind w:left="0" w:firstLine="720"/>
        <w:contextualSpacing w:val="0"/>
        <w:jc w:val="both"/>
        <w:rPr>
          <w:rFonts w:ascii="Times New Roman" w:hAnsi="Times New Roman"/>
          <w:sz w:val="24"/>
          <w:szCs w:val="24"/>
          <w:lang w:val="ro-RO"/>
        </w:rPr>
      </w:pPr>
      <w:r w:rsidRPr="00866277">
        <w:rPr>
          <w:rFonts w:ascii="Times New Roman" w:hAnsi="Times New Roman"/>
          <w:sz w:val="24"/>
          <w:szCs w:val="24"/>
          <w:lang w:val="ro-RO"/>
        </w:rPr>
        <w:t>Au fost organizate trei întruniri off-line cu experții economici independenți și trei întruniri off-line cu jurnaliștii - membri ai Clubului presei economice. Scopul a fost aducerea la cunoștință și explicarea importanților formatori de opinie contextului în care au fost luate anumite decizii sau urmează să fie luate, în ideea transmiterii  ferme a mesajului BNM.</w:t>
      </w:r>
    </w:p>
    <w:p w:rsidR="0013545C" w:rsidRPr="00866277" w:rsidRDefault="0013545C" w:rsidP="00583426">
      <w:pPr>
        <w:ind w:firstLine="720"/>
        <w:jc w:val="both"/>
        <w:rPr>
          <w:rFonts w:eastAsia="Times New Roman"/>
          <w:lang w:val="ro-RO"/>
        </w:rPr>
      </w:pPr>
      <w:r w:rsidRPr="00866277">
        <w:rPr>
          <w:rFonts w:eastAsia="Times New Roman"/>
          <w:lang w:val="ro-RO"/>
        </w:rPr>
        <w:t>În cadrul memorandumului de înțelegere încheiat între BNM și organizația neguvernamentală „</w:t>
      </w:r>
      <w:proofErr w:type="spellStart"/>
      <w:r w:rsidRPr="00866277">
        <w:rPr>
          <w:rFonts w:eastAsia="Times New Roman"/>
          <w:lang w:val="ro-RO"/>
        </w:rPr>
        <w:t>Callidus</w:t>
      </w:r>
      <w:proofErr w:type="spellEnd"/>
      <w:r w:rsidRPr="00866277">
        <w:rPr>
          <w:rFonts w:eastAsia="Times New Roman"/>
          <w:lang w:val="ro-RO"/>
        </w:rPr>
        <w:t xml:space="preserve">” și Centrul de Excelență în Economie și Finanțe, reprezentanții BNM au efectuat instruiri în domeniul prevenirii și combaterii spălării banilor și finanțării terorismului. </w:t>
      </w:r>
    </w:p>
    <w:p w:rsidR="0013545C" w:rsidRPr="00866277" w:rsidRDefault="0013545C" w:rsidP="00583426">
      <w:pPr>
        <w:ind w:firstLine="720"/>
        <w:jc w:val="both"/>
        <w:rPr>
          <w:rFonts w:eastAsia="Times New Roman"/>
          <w:lang w:val="ro-RO"/>
        </w:rPr>
      </w:pPr>
      <w:r w:rsidRPr="00866277">
        <w:rPr>
          <w:rFonts w:eastAsia="Times New Roman"/>
          <w:lang w:val="ro-RO"/>
        </w:rPr>
        <w:t xml:space="preserve">Astfel, în perioada 20-22 mai și 4-6 iunie 2019 au fost desfășurate instruiri pentru persoanele fizice și entitățile raportoare interesate în incinta Centrului de Excelență în Economie și Finanțe. Au fost abordate următoarele subiecte: </w:t>
      </w:r>
      <w:r w:rsidR="00836232">
        <w:rPr>
          <w:rFonts w:eastAsia="Times New Roman"/>
          <w:lang w:val="ro-RO"/>
        </w:rPr>
        <w:t>s</w:t>
      </w:r>
      <w:r w:rsidRPr="00866277">
        <w:rPr>
          <w:rFonts w:eastAsia="Times New Roman"/>
          <w:lang w:val="ro-RO"/>
        </w:rPr>
        <w:t>tandardele internaționale în domeniu; evaluarea riscurilor; aplicarea măsurilor de precauție asupra clienților, inclusiv a măsurilor de precauție sporită; aplicarea măsurilor restrictive internaționale, păstrarea datelor; identificarea și raportarea tranzacțiilor suspecte; dezvoltarea sistemului de control intern etc.</w:t>
      </w:r>
    </w:p>
    <w:p w:rsidR="0013545C" w:rsidRPr="00866277" w:rsidRDefault="0013545C" w:rsidP="00583426">
      <w:pPr>
        <w:ind w:firstLine="720"/>
        <w:jc w:val="both"/>
        <w:rPr>
          <w:rFonts w:eastAsia="Times New Roman"/>
          <w:lang w:val="ro-RO"/>
        </w:rPr>
      </w:pPr>
      <w:r w:rsidRPr="00866277">
        <w:rPr>
          <w:rFonts w:eastAsia="Times New Roman"/>
          <w:lang w:val="ro-RO"/>
        </w:rPr>
        <w:t>La 27 martie 2019 reprezentanții BNM au condus o sesiune informativă cu 31 specialiștii din domeniul combaterii spălării banilor și finanțării terorismului din cadrul băncilor și a prestatorilor serviciilor de plată, la sediul Camerei de Comerț Americane „</w:t>
      </w:r>
      <w:proofErr w:type="spellStart"/>
      <w:r w:rsidRPr="00866277">
        <w:rPr>
          <w:rFonts w:eastAsia="Times New Roman"/>
          <w:lang w:val="ro-RO"/>
        </w:rPr>
        <w:t>AmCham</w:t>
      </w:r>
      <w:proofErr w:type="spellEnd"/>
      <w:r w:rsidRPr="00866277">
        <w:rPr>
          <w:rFonts w:eastAsia="Times New Roman"/>
          <w:lang w:val="ro-RO"/>
        </w:rPr>
        <w:t>”.</w:t>
      </w:r>
    </w:p>
    <w:p w:rsidR="0013545C" w:rsidRPr="00866277" w:rsidRDefault="0013545C" w:rsidP="00583426">
      <w:pPr>
        <w:pStyle w:val="ListParagraph"/>
        <w:spacing w:after="0" w:line="240" w:lineRule="auto"/>
        <w:ind w:left="0" w:firstLine="720"/>
        <w:contextualSpacing w:val="0"/>
        <w:jc w:val="both"/>
        <w:rPr>
          <w:rFonts w:ascii="Times New Roman" w:hAnsi="Times New Roman"/>
          <w:sz w:val="24"/>
          <w:szCs w:val="24"/>
          <w:lang w:val="ro-RO"/>
        </w:rPr>
      </w:pPr>
      <w:r w:rsidRPr="00866277">
        <w:rPr>
          <w:rFonts w:ascii="Times New Roman" w:hAnsi="Times New Roman"/>
          <w:sz w:val="24"/>
          <w:szCs w:val="24"/>
          <w:lang w:val="ro-RO"/>
        </w:rPr>
        <w:t xml:space="preserve">În cadrul proiectului de educație financiară „Învață! Dă sens banilor” au fost elaborate materiale informative cu privire la principalele concepte și produse financiare. Acestea reprezintă materiale-suport în cadrul activităților ulterioare de educație financiară. </w:t>
      </w:r>
    </w:p>
    <w:p w:rsidR="0013545C" w:rsidRPr="00866277" w:rsidRDefault="0013545C" w:rsidP="00583426">
      <w:pPr>
        <w:pStyle w:val="ListParagraph"/>
        <w:spacing w:after="0" w:line="240" w:lineRule="auto"/>
        <w:ind w:left="0" w:firstLine="720"/>
        <w:contextualSpacing w:val="0"/>
        <w:jc w:val="both"/>
        <w:rPr>
          <w:rFonts w:ascii="Times New Roman" w:hAnsi="Times New Roman"/>
          <w:sz w:val="24"/>
          <w:szCs w:val="24"/>
          <w:lang w:val="ro-RO"/>
        </w:rPr>
      </w:pPr>
      <w:r w:rsidRPr="00866277">
        <w:rPr>
          <w:rFonts w:ascii="Times New Roman" w:hAnsi="Times New Roman"/>
          <w:sz w:val="24"/>
          <w:szCs w:val="24"/>
          <w:lang w:val="ro-RO"/>
        </w:rPr>
        <w:t xml:space="preserve">Banca Națională organizează lecții de educație financiară atât la sediul său, cât și în cadrul instituțiilor de învățământ. De exemplu, în luna septembrie 2019, BNM a primit în vizită un grup de studenți - membri ai Asociației Studenților la Drept din Europa (ELSA - European Law </w:t>
      </w:r>
      <w:proofErr w:type="spellStart"/>
      <w:r w:rsidRPr="00866277">
        <w:rPr>
          <w:rFonts w:ascii="Times New Roman" w:hAnsi="Times New Roman"/>
          <w:sz w:val="24"/>
          <w:szCs w:val="24"/>
          <w:lang w:val="ro-RO"/>
        </w:rPr>
        <w:t>Students</w:t>
      </w:r>
      <w:proofErr w:type="spellEnd"/>
      <w:r w:rsidRPr="00866277">
        <w:rPr>
          <w:rFonts w:ascii="Times New Roman" w:hAnsi="Times New Roman"/>
          <w:sz w:val="24"/>
          <w:szCs w:val="24"/>
          <w:lang w:val="ro-RO"/>
        </w:rPr>
        <w:t>' Association) și de la ASEM. Subiectul lecției desfășurate a fost „Cerințele privind prevenirea și combaterea spălării banilor și finanțarea terorismului în activitatea băncilor”, care a fost pregătită la solicitarea studenților.</w:t>
      </w:r>
    </w:p>
    <w:p w:rsidR="0013545C" w:rsidRPr="00866277" w:rsidRDefault="0013545C" w:rsidP="00583426">
      <w:pPr>
        <w:pStyle w:val="ListParagraph"/>
        <w:spacing w:after="0" w:line="240" w:lineRule="auto"/>
        <w:ind w:left="0" w:firstLine="720"/>
        <w:contextualSpacing w:val="0"/>
        <w:jc w:val="both"/>
        <w:rPr>
          <w:rFonts w:ascii="Times New Roman" w:hAnsi="Times New Roman"/>
          <w:sz w:val="24"/>
          <w:szCs w:val="24"/>
          <w:lang w:val="ro-RO"/>
        </w:rPr>
      </w:pPr>
      <w:r w:rsidRPr="00866277">
        <w:rPr>
          <w:rFonts w:ascii="Times New Roman" w:hAnsi="Times New Roman"/>
          <w:sz w:val="24"/>
          <w:szCs w:val="24"/>
          <w:lang w:val="ro-RO"/>
        </w:rPr>
        <w:t xml:space="preserve">În septembrie 2019, BNM, împreună cu Centrul Analitic Independent „Expert-Grup” </w:t>
      </w:r>
      <w:r w:rsidR="00537BE6">
        <w:rPr>
          <w:rFonts w:ascii="Times New Roman" w:hAnsi="Times New Roman"/>
          <w:sz w:val="24"/>
          <w:szCs w:val="24"/>
          <w:lang w:val="ro-RO"/>
        </w:rPr>
        <w:t>–</w:t>
      </w:r>
      <w:r w:rsidRPr="00866277">
        <w:rPr>
          <w:rFonts w:ascii="Times New Roman" w:hAnsi="Times New Roman"/>
          <w:sz w:val="24"/>
          <w:szCs w:val="24"/>
          <w:lang w:val="ro-RO"/>
        </w:rPr>
        <w:t xml:space="preserve"> partenerul</w:t>
      </w:r>
      <w:r w:rsidR="00537BE6">
        <w:rPr>
          <w:rFonts w:ascii="Times New Roman" w:hAnsi="Times New Roman"/>
          <w:sz w:val="24"/>
          <w:szCs w:val="24"/>
          <w:lang w:val="ro-RO"/>
        </w:rPr>
        <w:t xml:space="preserve"> </w:t>
      </w:r>
      <w:r w:rsidRPr="00866277">
        <w:rPr>
          <w:rFonts w:ascii="Times New Roman" w:hAnsi="Times New Roman"/>
          <w:sz w:val="24"/>
          <w:szCs w:val="24"/>
          <w:lang w:val="ro-RO"/>
        </w:rPr>
        <w:t xml:space="preserve">BNM în proiectul de educație financiară „Învață! Dă sens banilor” a organizat o lecție de educație financiară la liceul Academiei de Științe din Moldova. </w:t>
      </w:r>
    </w:p>
    <w:p w:rsidR="0013545C" w:rsidRPr="00866277" w:rsidRDefault="0013545C" w:rsidP="00583426">
      <w:pPr>
        <w:pStyle w:val="ListParagraph"/>
        <w:spacing w:after="0" w:line="240" w:lineRule="auto"/>
        <w:ind w:left="0" w:firstLine="720"/>
        <w:contextualSpacing w:val="0"/>
        <w:jc w:val="both"/>
        <w:rPr>
          <w:rFonts w:ascii="Times New Roman" w:hAnsi="Times New Roman"/>
          <w:sz w:val="24"/>
          <w:szCs w:val="24"/>
          <w:lang w:val="ro-RO"/>
        </w:rPr>
      </w:pPr>
      <w:r w:rsidRPr="00866277">
        <w:rPr>
          <w:rFonts w:ascii="Times New Roman" w:hAnsi="Times New Roman"/>
          <w:sz w:val="24"/>
          <w:szCs w:val="24"/>
          <w:lang w:val="ro-RO"/>
        </w:rPr>
        <w:t xml:space="preserve">A fost semnat un acord de parteneriat cu Universitatea de Stat din Moldova. Documentul este în vigoare de pe 28 octombrie 2019. Părțile vor coopera în vederea organizării studiilor </w:t>
      </w:r>
      <w:proofErr w:type="spellStart"/>
      <w:r w:rsidRPr="00866277">
        <w:rPr>
          <w:rFonts w:ascii="Times New Roman" w:hAnsi="Times New Roman"/>
          <w:sz w:val="24"/>
          <w:szCs w:val="24"/>
          <w:lang w:val="ro-RO"/>
        </w:rPr>
        <w:t>şi</w:t>
      </w:r>
      <w:proofErr w:type="spellEnd"/>
      <w:r w:rsidRPr="00866277">
        <w:rPr>
          <w:rFonts w:ascii="Times New Roman" w:hAnsi="Times New Roman"/>
          <w:sz w:val="24"/>
          <w:szCs w:val="24"/>
          <w:lang w:val="ro-RO"/>
        </w:rPr>
        <w:t xml:space="preserve"> schimbului de cunoștințe pentru a pregăti și perfecționa specialiști în domeniul bancar. În cadrul acordului, BNM va organiza stagii de studiu pentru studenți și profesori în scopul familiarizării acestora cu aspectele practice ale activității bancare și a băncii centrale, dezvoltarea noilor servicii și produse bancare, prognoza inflației etc.  Totodată, experții băncii centrale vor organiza stagii de documentare pentru cadrele didactice și doctoranzii și vor participa la cercetările științifice și proiectele acestora. Reprezentanții USM vor fi invitați la conferințele și evenimente publice organizate de BNM, în cadrul cărora vor avea posibilitatea să participe la discuții și să prezinte rezultatele propriilor analize și cercetări.</w:t>
      </w:r>
    </w:p>
    <w:p w:rsidR="0013545C" w:rsidRPr="00866277" w:rsidRDefault="0013545C" w:rsidP="00583426">
      <w:pPr>
        <w:ind w:firstLine="720"/>
        <w:jc w:val="both"/>
        <w:rPr>
          <w:rFonts w:eastAsia="Times New Roman"/>
          <w:lang w:val="ro-RO"/>
        </w:rPr>
      </w:pPr>
      <w:r w:rsidRPr="00866277">
        <w:rPr>
          <w:rFonts w:eastAsia="Times New Roman"/>
          <w:lang w:val="ro-RO"/>
        </w:rPr>
        <w:t xml:space="preserve">În perioada 4-8 noiembrie 2019, a fost organizat evenimentul de educație financiară „Drumul banului”, cu prilejul Zilei Internaționale a Economisirii. Acesta a fost desfășurat de Banca Națională a </w:t>
      </w:r>
      <w:r w:rsidRPr="00866277">
        <w:rPr>
          <w:rFonts w:eastAsia="Times New Roman"/>
          <w:lang w:val="ro-RO"/>
        </w:rPr>
        <w:lastRenderedPageBreak/>
        <w:t>Moldovei și Centrul Analitic Independent „Expert-Grup”, în comun cu băncile licențiate, în cadrul proiectului comun „Învață! Dă sens banilor”. </w:t>
      </w:r>
      <w:r w:rsidR="00E65C65">
        <w:rPr>
          <w:rFonts w:eastAsia="Times New Roman"/>
          <w:lang w:val="ro-RO"/>
        </w:rPr>
        <w:t xml:space="preserve"> </w:t>
      </w:r>
      <w:r w:rsidRPr="00866277">
        <w:rPr>
          <w:rFonts w:eastAsia="Times New Roman"/>
          <w:lang w:val="ro-RO"/>
        </w:rPr>
        <w:t>La eveniment au participat peste 600 de elevi și studenți.</w:t>
      </w:r>
    </w:p>
    <w:p w:rsidR="0013545C" w:rsidRPr="00866277" w:rsidRDefault="0013545C" w:rsidP="00583426">
      <w:pPr>
        <w:ind w:firstLine="720"/>
        <w:jc w:val="both"/>
        <w:rPr>
          <w:rFonts w:eastAsia="Times New Roman"/>
          <w:lang w:val="ro-RO"/>
        </w:rPr>
      </w:pPr>
      <w:r w:rsidRPr="00866277">
        <w:rPr>
          <w:rFonts w:eastAsia="Times New Roman"/>
          <w:lang w:val="ro-RO"/>
        </w:rPr>
        <w:t>În data de 12 decembrie 2019, conducerea BNM a participat la cercul</w:t>
      </w:r>
      <w:r w:rsidRPr="00866277">
        <w:rPr>
          <w:lang w:val="ro-RO"/>
        </w:rPr>
        <w:t xml:space="preserve"> </w:t>
      </w:r>
      <w:r w:rsidRPr="00866277">
        <w:rPr>
          <w:rFonts w:eastAsia="Times New Roman"/>
          <w:lang w:val="ro-RO"/>
        </w:rPr>
        <w:t>științific studențesc „Tinerii monetariști” din cadrul Academiei de Studii Economice din Moldova. Cei mai buni studenți implicați au beneficiat și de moneda comemorativă „Ivan Mocan – 100 ani de la naștere”, oferită de prim-viceguvernatorul BNM, Vladimir Munteanu, din fondul pe care l-a constituit personal urmare inițiativei lansate la începutul anului 2019.</w:t>
      </w:r>
    </w:p>
    <w:p w:rsidR="00EF3852" w:rsidRPr="00866277" w:rsidRDefault="0013545C" w:rsidP="00583426">
      <w:pPr>
        <w:tabs>
          <w:tab w:val="left" w:pos="1260"/>
        </w:tabs>
        <w:ind w:firstLine="720"/>
        <w:jc w:val="both"/>
        <w:rPr>
          <w:lang w:val="ro-RO"/>
        </w:rPr>
      </w:pPr>
      <w:r w:rsidRPr="00866277">
        <w:rPr>
          <w:rFonts w:eastAsia="Times New Roman"/>
          <w:lang w:val="ro-RO"/>
        </w:rPr>
        <w:t>La 27 decembrie 2019,  pe pagina electronică a BNM a fost publicat interviul Guvernatorului BNM, prin care răspunde la întrebările instituțiilor mas-media din Republica Moldova. Link-</w:t>
      </w:r>
      <w:proofErr w:type="spellStart"/>
      <w:r w:rsidRPr="00866277">
        <w:rPr>
          <w:rFonts w:eastAsia="Times New Roman"/>
          <w:lang w:val="ro-RO"/>
        </w:rPr>
        <w:t>ul</w:t>
      </w:r>
      <w:proofErr w:type="spellEnd"/>
      <w:r w:rsidRPr="00866277">
        <w:rPr>
          <w:rFonts w:eastAsia="Times New Roman"/>
          <w:lang w:val="ro-RO"/>
        </w:rPr>
        <w:t xml:space="preserve"> la care se poate accesa interviul:</w:t>
      </w:r>
    </w:p>
    <w:p w:rsidR="00852C85" w:rsidRPr="00866277" w:rsidRDefault="00852C85" w:rsidP="00690BAE">
      <w:pPr>
        <w:ind w:firstLine="720"/>
        <w:jc w:val="both"/>
        <w:rPr>
          <w:rFonts w:eastAsia="Times New Roman"/>
          <w:bCs/>
          <w:lang w:val="ro-RO"/>
        </w:rPr>
      </w:pPr>
      <w:r w:rsidRPr="00866277">
        <w:rPr>
          <w:rFonts w:eastAsia="Times New Roman"/>
          <w:bCs/>
          <w:lang w:val="ro-RO"/>
        </w:rPr>
        <w:t xml:space="preserve">În cadrul proiectului de asistență tehnică cu tematica ”Protecția consumatorului” </w:t>
      </w:r>
      <w:r w:rsidR="00690BAE">
        <w:rPr>
          <w:rFonts w:eastAsia="Times New Roman"/>
          <w:bCs/>
          <w:lang w:val="ro-RO"/>
        </w:rPr>
        <w:t xml:space="preserve">CNPF </w:t>
      </w:r>
      <w:r w:rsidRPr="00866277">
        <w:rPr>
          <w:rFonts w:eastAsia="Times New Roman"/>
          <w:bCs/>
          <w:lang w:val="ro-RO"/>
        </w:rPr>
        <w:t>în colaborare cu experții de la Trezoreria SUA a</w:t>
      </w:r>
      <w:r w:rsidR="00690BAE">
        <w:rPr>
          <w:rFonts w:eastAsia="Times New Roman"/>
          <w:bCs/>
          <w:lang w:val="ro-RO"/>
        </w:rPr>
        <w:t xml:space="preserve"> elaborat</w:t>
      </w:r>
      <w:r w:rsidRPr="00866277">
        <w:rPr>
          <w:rFonts w:eastAsia="Times New Roman"/>
          <w:bCs/>
          <w:lang w:val="ro-RO"/>
        </w:rPr>
        <w:t xml:space="preserve"> 3 proiecte de ghiduri în domeniul protecției consumatorului și a fost prezentată Baza de date de evidență a petiț</w:t>
      </w:r>
      <w:r w:rsidR="00690BAE">
        <w:rPr>
          <w:rFonts w:eastAsia="Times New Roman"/>
          <w:bCs/>
          <w:lang w:val="ro-RO"/>
        </w:rPr>
        <w:t xml:space="preserve">iilor în domeniul asigurărilor. </w:t>
      </w:r>
      <w:r w:rsidRPr="00866277">
        <w:rPr>
          <w:rFonts w:eastAsia="Times New Roman"/>
          <w:bCs/>
          <w:lang w:val="ro-RO"/>
        </w:rPr>
        <w:t xml:space="preserve">A fost elaborat un spot informațional video (în limbile </w:t>
      </w:r>
      <w:proofErr w:type="spellStart"/>
      <w:r w:rsidRPr="00866277">
        <w:rPr>
          <w:rFonts w:eastAsia="Times New Roman"/>
          <w:bCs/>
          <w:lang w:val="ro-RO"/>
        </w:rPr>
        <w:t>ro</w:t>
      </w:r>
      <w:proofErr w:type="spellEnd"/>
      <w:r w:rsidRPr="00866277">
        <w:rPr>
          <w:rFonts w:eastAsia="Times New Roman"/>
          <w:bCs/>
          <w:lang w:val="ro-RO"/>
        </w:rPr>
        <w:t>/</w:t>
      </w:r>
      <w:proofErr w:type="spellStart"/>
      <w:r w:rsidRPr="00866277">
        <w:rPr>
          <w:rFonts w:eastAsia="Times New Roman"/>
          <w:bCs/>
          <w:lang w:val="ro-RO"/>
        </w:rPr>
        <w:t>ru</w:t>
      </w:r>
      <w:proofErr w:type="spellEnd"/>
      <w:r w:rsidRPr="00866277">
        <w:rPr>
          <w:rFonts w:eastAsia="Times New Roman"/>
          <w:bCs/>
          <w:lang w:val="ro-RO"/>
        </w:rPr>
        <w:t>), privind metoda de soluționare a accidentelor de vehicule prin intermediul procedurii de constatare amiabilă, fiind lansată o campanie de informare cu privire la condițiile de aplicare a procedurii de constatare amiabilă în cazul accidentelor de circulație. Spotul video a fost plasat pe pagina oficială web (</w:t>
      </w:r>
      <w:hyperlink r:id="rId11" w:history="1">
        <w:r w:rsidRPr="00866277">
          <w:rPr>
            <w:rStyle w:val="Hyperlink"/>
            <w:rFonts w:eastAsia="Times New Roman"/>
            <w:bCs/>
            <w:color w:val="auto"/>
            <w:lang w:val="ro-RO"/>
          </w:rPr>
          <w:t>www.cnpf.md</w:t>
        </w:r>
      </w:hyperlink>
      <w:r w:rsidRPr="00866277">
        <w:rPr>
          <w:rFonts w:eastAsia="Times New Roman"/>
          <w:bCs/>
          <w:lang w:val="ro-RO"/>
        </w:rPr>
        <w:t>) și pe pagina de Facebook a CNPF și mediatizat prin intermediul companiilor și brokerilor de asig</w:t>
      </w:r>
      <w:r w:rsidR="00690BAE">
        <w:rPr>
          <w:rFonts w:eastAsia="Times New Roman"/>
          <w:bCs/>
          <w:lang w:val="ro-RO"/>
        </w:rPr>
        <w:t>urări și altor părți interesate.</w:t>
      </w:r>
    </w:p>
    <w:p w:rsidR="00852C85" w:rsidRPr="00866277" w:rsidRDefault="00690BAE" w:rsidP="00583426">
      <w:pPr>
        <w:ind w:firstLine="720"/>
        <w:jc w:val="both"/>
        <w:rPr>
          <w:rFonts w:eastAsia="Times New Roman"/>
          <w:bCs/>
          <w:lang w:val="ro-RO"/>
        </w:rPr>
      </w:pPr>
      <w:r>
        <w:rPr>
          <w:rFonts w:eastAsia="Times New Roman"/>
          <w:bCs/>
          <w:lang w:val="ro-RO"/>
        </w:rPr>
        <w:t>De asemenea, a</w:t>
      </w:r>
      <w:r w:rsidR="00852C85" w:rsidRPr="00866277">
        <w:rPr>
          <w:rFonts w:eastAsia="Times New Roman"/>
          <w:bCs/>
          <w:lang w:val="ro-RO"/>
        </w:rPr>
        <w:t xml:space="preserve">u fost elaborate 7 comunicate informative, iar reprezentanții CNPF au participat la 8 emisiuni televizate și radio cu referire la intrarea în vigoare a amendamentelor legislative privind punerea în aplicare a </w:t>
      </w:r>
      <w:r>
        <w:rPr>
          <w:rFonts w:eastAsia="Times New Roman"/>
          <w:bCs/>
          <w:lang w:val="ro-RO"/>
        </w:rPr>
        <w:t>mecanismului de constat amiabil.</w:t>
      </w:r>
    </w:p>
    <w:p w:rsidR="00852C85" w:rsidRPr="00866277" w:rsidRDefault="00852C85" w:rsidP="00583426">
      <w:pPr>
        <w:ind w:firstLine="720"/>
        <w:jc w:val="both"/>
        <w:rPr>
          <w:rFonts w:eastAsia="Times New Roman"/>
          <w:bCs/>
          <w:lang w:val="ro-RO"/>
        </w:rPr>
      </w:pPr>
      <w:r w:rsidRPr="00866277">
        <w:rPr>
          <w:rFonts w:eastAsia="Times New Roman"/>
          <w:bCs/>
          <w:lang w:val="ro-RO"/>
        </w:rPr>
        <w:t>Au fost difuzate presei și plasate pe pagina web oficială a CNPF, pe pagina de Facebook și în ziarul Capital Market în total 73 de comunicate de presă ce vizează activitatea CNPF și</w:t>
      </w:r>
      <w:r w:rsidRPr="00866277">
        <w:rPr>
          <w:bCs/>
          <w:lang w:val="ro-RO"/>
        </w:rPr>
        <w:t xml:space="preserve">  </w:t>
      </w:r>
      <w:r w:rsidRPr="00866277">
        <w:rPr>
          <w:rFonts w:eastAsia="Times New Roman"/>
          <w:bCs/>
          <w:lang w:val="ro-RO"/>
        </w:rPr>
        <w:t>evenimentele de pe piața financiară nebancară, inclusiv 42 de comunicate informative despre deciziile aprobate în cadrul ședințelor CA al CNPF. Pe pagina Facebook au fost distribuite 10 mesaje de educație financiară, inclusiv despre procedurile de promovare a  proiec</w:t>
      </w:r>
      <w:r w:rsidR="00690BAE">
        <w:rPr>
          <w:rFonts w:eastAsia="Times New Roman"/>
          <w:bCs/>
          <w:lang w:val="ro-RO"/>
        </w:rPr>
        <w:t>telor de lege elaborate de CNPF.</w:t>
      </w:r>
    </w:p>
    <w:p w:rsidR="00852C85" w:rsidRPr="00866277" w:rsidRDefault="00852C85" w:rsidP="00583426">
      <w:pPr>
        <w:ind w:firstLine="720"/>
        <w:jc w:val="both"/>
        <w:rPr>
          <w:bCs/>
          <w:lang w:val="ro-RO"/>
        </w:rPr>
      </w:pPr>
      <w:r w:rsidRPr="00866277">
        <w:rPr>
          <w:rFonts w:eastAsia="Times New Roman"/>
          <w:bCs/>
          <w:lang w:val="ro-RO"/>
        </w:rPr>
        <w:t>În cadrul dialogului cu mass-media au fost oferite răspunsuri la peste 20 de solicitări de inf</w:t>
      </w:r>
      <w:r w:rsidR="00690BAE">
        <w:rPr>
          <w:rFonts w:eastAsia="Times New Roman"/>
          <w:bCs/>
          <w:lang w:val="ro-RO"/>
        </w:rPr>
        <w:t xml:space="preserve">ormații, declarații, interviuri. </w:t>
      </w:r>
      <w:r w:rsidRPr="00866277">
        <w:rPr>
          <w:rFonts w:eastAsia="Times New Roman"/>
          <w:bCs/>
          <w:lang w:val="ro-RO"/>
        </w:rPr>
        <w:t xml:space="preserve">A fost organizată o conferință de presă cu tematica privind amendarea legislației în domeniul de creditare nebancară.  </w:t>
      </w:r>
    </w:p>
    <w:p w:rsidR="00AA41F1" w:rsidRPr="00866277" w:rsidRDefault="007C06EF" w:rsidP="007C06EF">
      <w:pPr>
        <w:ind w:firstLine="720"/>
        <w:jc w:val="both"/>
        <w:rPr>
          <w:lang w:val="ro-RO"/>
        </w:rPr>
      </w:pPr>
      <w:r>
        <w:rPr>
          <w:lang w:val="ro-RO"/>
        </w:rPr>
        <w:t>Pe pagina web a</w:t>
      </w:r>
      <w:r w:rsidR="00AA41F1" w:rsidRPr="00866277">
        <w:rPr>
          <w:lang w:val="ro-RO"/>
        </w:rPr>
        <w:t xml:space="preserve"> ANSA au fost publicate 33 articole privind informarea consumatorului și publicului, inclusiv s-a participat la 72 emisiuni televizate și 12 emisiuni r</w:t>
      </w:r>
      <w:r>
        <w:rPr>
          <w:lang w:val="ro-RO"/>
        </w:rPr>
        <w:t xml:space="preserve">adio sau interviuri telefonice. </w:t>
      </w:r>
      <w:r w:rsidR="00AA41F1" w:rsidRPr="00866277">
        <w:rPr>
          <w:lang w:val="ro-RO"/>
        </w:rPr>
        <w:t>Totodată au fost efectuate 4 seminare cu operatorii din businessul alimentar cu tematica:</w:t>
      </w:r>
    </w:p>
    <w:p w:rsidR="00AA41F1" w:rsidRPr="00866277" w:rsidRDefault="00AA41F1" w:rsidP="00583426">
      <w:pPr>
        <w:ind w:firstLine="720"/>
        <w:jc w:val="both"/>
        <w:rPr>
          <w:lang w:val="ro-RO"/>
        </w:rPr>
      </w:pPr>
      <w:r w:rsidRPr="00866277">
        <w:rPr>
          <w:lang w:val="ro-RO"/>
        </w:rPr>
        <w:t>- Implementarea Legii nr.279 din 15.12.1017 privind informarea consumatorilor referitor la produsele alimentare;</w:t>
      </w:r>
    </w:p>
    <w:p w:rsidR="00AA41F1" w:rsidRPr="00866277" w:rsidRDefault="00AA41F1" w:rsidP="00583426">
      <w:pPr>
        <w:ind w:firstLine="720"/>
        <w:jc w:val="both"/>
        <w:rPr>
          <w:lang w:val="ro-RO"/>
        </w:rPr>
      </w:pPr>
      <w:r w:rsidRPr="00866277">
        <w:rPr>
          <w:lang w:val="ro-RO"/>
        </w:rPr>
        <w:t xml:space="preserve">- Organizarea odihnei de vară </w:t>
      </w:r>
      <w:proofErr w:type="spellStart"/>
      <w:r w:rsidRPr="00866277">
        <w:rPr>
          <w:lang w:val="ro-RO"/>
        </w:rPr>
        <w:t>prntru</w:t>
      </w:r>
      <w:proofErr w:type="spellEnd"/>
      <w:r w:rsidRPr="00866277">
        <w:rPr>
          <w:lang w:val="ro-RO"/>
        </w:rPr>
        <w:t xml:space="preserve"> copii și adolescenți în sezonul estival 2019;</w:t>
      </w:r>
    </w:p>
    <w:p w:rsidR="00AA41F1" w:rsidRPr="00866277" w:rsidRDefault="00AA41F1" w:rsidP="00583426">
      <w:pPr>
        <w:ind w:firstLine="720"/>
        <w:jc w:val="both"/>
        <w:rPr>
          <w:lang w:val="ro-RO"/>
        </w:rPr>
      </w:pPr>
      <w:r w:rsidRPr="00866277">
        <w:rPr>
          <w:lang w:val="ro-RO"/>
        </w:rPr>
        <w:t>- „Alimentația copiilor și situația blocurilor alimentare din incinta instituțiilor de învățământ general”;</w:t>
      </w:r>
    </w:p>
    <w:p w:rsidR="00AA41F1" w:rsidRPr="00866277" w:rsidRDefault="00AA41F1" w:rsidP="00583426">
      <w:pPr>
        <w:ind w:firstLine="720"/>
        <w:jc w:val="both"/>
        <w:rPr>
          <w:lang w:val="ro-RO"/>
        </w:rPr>
      </w:pPr>
      <w:r w:rsidRPr="00866277">
        <w:rPr>
          <w:lang w:val="ro-RO"/>
        </w:rPr>
        <w:t xml:space="preserve">- Organizarea și asigurarea instituțiilor de </w:t>
      </w:r>
      <w:proofErr w:type="spellStart"/>
      <w:r w:rsidRPr="00866277">
        <w:rPr>
          <w:lang w:val="ro-RO"/>
        </w:rPr>
        <w:t>învățămînt</w:t>
      </w:r>
      <w:proofErr w:type="spellEnd"/>
      <w:r w:rsidRPr="00866277">
        <w:rPr>
          <w:lang w:val="ro-RO"/>
        </w:rPr>
        <w:t xml:space="preserve"> general cu produse alimentare și organizarea alimentației copiilor, </w:t>
      </w:r>
    </w:p>
    <w:p w:rsidR="00AA41F1" w:rsidRPr="00866277" w:rsidRDefault="007C06EF" w:rsidP="00583426">
      <w:pPr>
        <w:ind w:firstLine="720"/>
        <w:jc w:val="both"/>
        <w:rPr>
          <w:lang w:val="ro-RO"/>
        </w:rPr>
      </w:pPr>
      <w:r w:rsidRPr="00866277">
        <w:rPr>
          <w:lang w:val="ro-RO"/>
        </w:rPr>
        <w:t>A</w:t>
      </w:r>
      <w:r w:rsidR="00AA41F1" w:rsidRPr="00866277">
        <w:rPr>
          <w:lang w:val="ro-RO"/>
        </w:rPr>
        <w:t>u</w:t>
      </w:r>
      <w:r>
        <w:rPr>
          <w:lang w:val="ro-RO"/>
        </w:rPr>
        <w:t xml:space="preserve"> </w:t>
      </w:r>
      <w:r w:rsidR="00AA41F1" w:rsidRPr="00866277">
        <w:rPr>
          <w:lang w:val="ro-RO"/>
        </w:rPr>
        <w:t xml:space="preserve">fost </w:t>
      </w:r>
      <w:proofErr w:type="spellStart"/>
      <w:r w:rsidR="00AA41F1" w:rsidRPr="00866277">
        <w:rPr>
          <w:lang w:val="ro-RO"/>
        </w:rPr>
        <w:t>e</w:t>
      </w:r>
      <w:r>
        <w:rPr>
          <w:lang w:val="ro-RO"/>
        </w:rPr>
        <w:t>lectuate</w:t>
      </w:r>
      <w:proofErr w:type="spellEnd"/>
      <w:r>
        <w:rPr>
          <w:lang w:val="ro-RO"/>
        </w:rPr>
        <w:t xml:space="preserve"> 1434 vizite de consultanță</w:t>
      </w:r>
      <w:r w:rsidR="00AA41F1" w:rsidRPr="00866277">
        <w:rPr>
          <w:lang w:val="ro-RO"/>
        </w:rPr>
        <w:t xml:space="preserve"> în instituții de </w:t>
      </w:r>
      <w:proofErr w:type="spellStart"/>
      <w:r w:rsidR="00AA41F1" w:rsidRPr="00866277">
        <w:rPr>
          <w:lang w:val="ro-RO"/>
        </w:rPr>
        <w:t>învățămînt</w:t>
      </w:r>
      <w:proofErr w:type="spellEnd"/>
      <w:r w:rsidR="00AA41F1" w:rsidRPr="00866277">
        <w:rPr>
          <w:lang w:val="ro-RO"/>
        </w:rPr>
        <w:t xml:space="preserve">, inclusiv 61 de tabere de odihnă. Concomitent au fost acordate 100% (712) consultații la apeluri telefonice înregistrate la linia verde, 100 % consultații acordate în oficiu, din total solicitate. </w:t>
      </w:r>
    </w:p>
    <w:p w:rsidR="001B1EA6" w:rsidRPr="00866277" w:rsidRDefault="001B1EA6" w:rsidP="00583426">
      <w:pPr>
        <w:ind w:firstLine="720"/>
        <w:jc w:val="both"/>
        <w:rPr>
          <w:iCs/>
          <w:lang w:val="ro-RO"/>
        </w:rPr>
      </w:pPr>
      <w:r w:rsidRPr="00866277">
        <w:rPr>
          <w:iCs/>
          <w:lang w:val="ro-RO"/>
        </w:rPr>
        <w:t xml:space="preserve">ANRCETI, în calitate de autoritate abilitată prin lege cu funcția de protecție a drepturilor și intereselor legitime ale utilizatorilor de servicii de </w:t>
      </w:r>
      <w:proofErr w:type="spellStart"/>
      <w:r w:rsidRPr="00866277">
        <w:rPr>
          <w:iCs/>
          <w:lang w:val="ro-RO"/>
        </w:rPr>
        <w:t>comunicaţii</w:t>
      </w:r>
      <w:proofErr w:type="spellEnd"/>
      <w:r w:rsidRPr="00866277">
        <w:rPr>
          <w:iCs/>
          <w:lang w:val="ro-RO"/>
        </w:rPr>
        <w:t xml:space="preserve"> electronice și de servicii poștale, s-a axat pe informarea acestora cu privire la drepturile pe care le au în </w:t>
      </w:r>
      <w:proofErr w:type="spellStart"/>
      <w:r w:rsidRPr="00866277">
        <w:rPr>
          <w:iCs/>
          <w:lang w:val="ro-RO"/>
        </w:rPr>
        <w:t>relaţiile</w:t>
      </w:r>
      <w:proofErr w:type="spellEnd"/>
      <w:r w:rsidRPr="00866277">
        <w:rPr>
          <w:iCs/>
          <w:lang w:val="ro-RO"/>
        </w:rPr>
        <w:t xml:space="preserve"> cu furnizorii, pe examinarea </w:t>
      </w:r>
      <w:proofErr w:type="spellStart"/>
      <w:r w:rsidRPr="00866277">
        <w:rPr>
          <w:iCs/>
          <w:lang w:val="ro-RO"/>
        </w:rPr>
        <w:t>petiţiilor</w:t>
      </w:r>
      <w:proofErr w:type="spellEnd"/>
      <w:r w:rsidRPr="00866277">
        <w:rPr>
          <w:iCs/>
          <w:lang w:val="ro-RO"/>
        </w:rPr>
        <w:t xml:space="preserve">, </w:t>
      </w:r>
      <w:proofErr w:type="spellStart"/>
      <w:r w:rsidRPr="00866277">
        <w:rPr>
          <w:iCs/>
          <w:lang w:val="ro-RO"/>
        </w:rPr>
        <w:t>soluţionarea</w:t>
      </w:r>
      <w:proofErr w:type="spellEnd"/>
      <w:r w:rsidRPr="00866277">
        <w:rPr>
          <w:iCs/>
          <w:lang w:val="ro-RO"/>
        </w:rPr>
        <w:t xml:space="preserve"> reclamațiilor, inclusiv și pe monitorizarea respectării de către furnizori a drepturilor utilizatorilor de servicii, în particular, în vederea acoperirii teritoriale cu servicii de </w:t>
      </w:r>
      <w:proofErr w:type="spellStart"/>
      <w:r w:rsidRPr="00866277">
        <w:rPr>
          <w:iCs/>
          <w:lang w:val="ro-RO"/>
        </w:rPr>
        <w:t>comunicaţii</w:t>
      </w:r>
      <w:proofErr w:type="spellEnd"/>
      <w:r w:rsidRPr="00866277">
        <w:rPr>
          <w:iCs/>
          <w:lang w:val="ro-RO"/>
        </w:rPr>
        <w:t xml:space="preserve"> electronice mobile.</w:t>
      </w:r>
    </w:p>
    <w:p w:rsidR="001B1EA6" w:rsidRPr="00866277" w:rsidRDefault="001B1EA6" w:rsidP="00583426">
      <w:pPr>
        <w:ind w:firstLine="720"/>
        <w:jc w:val="both"/>
      </w:pPr>
      <w:proofErr w:type="spellStart"/>
      <w:proofErr w:type="gramStart"/>
      <w:r w:rsidRPr="00866277">
        <w:t>În</w:t>
      </w:r>
      <w:proofErr w:type="spellEnd"/>
      <w:r w:rsidRPr="00866277">
        <w:t xml:space="preserve"> </w:t>
      </w:r>
      <w:proofErr w:type="spellStart"/>
      <w:r w:rsidRPr="00866277">
        <w:t>vederea</w:t>
      </w:r>
      <w:proofErr w:type="spellEnd"/>
      <w:r w:rsidRPr="00866277">
        <w:t xml:space="preserve"> </w:t>
      </w:r>
      <w:proofErr w:type="spellStart"/>
      <w:r w:rsidRPr="00866277">
        <w:t>informării</w:t>
      </w:r>
      <w:proofErr w:type="spellEnd"/>
      <w:r w:rsidRPr="00866277">
        <w:t xml:space="preserve"> </w:t>
      </w:r>
      <w:proofErr w:type="spellStart"/>
      <w:r w:rsidRPr="00866277">
        <w:t>consumatorilor</w:t>
      </w:r>
      <w:proofErr w:type="spellEnd"/>
      <w:r w:rsidRPr="00866277">
        <w:t xml:space="preserve"> </w:t>
      </w:r>
      <w:proofErr w:type="spellStart"/>
      <w:r w:rsidRPr="00866277">
        <w:t>privind</w:t>
      </w:r>
      <w:proofErr w:type="spellEnd"/>
      <w:r w:rsidRPr="00866277">
        <w:t xml:space="preserve"> </w:t>
      </w:r>
      <w:proofErr w:type="spellStart"/>
      <w:r w:rsidRPr="00866277">
        <w:t>elaborarea</w:t>
      </w:r>
      <w:proofErr w:type="spellEnd"/>
      <w:r w:rsidRPr="00866277">
        <w:t xml:space="preserve"> </w:t>
      </w:r>
      <w:proofErr w:type="spellStart"/>
      <w:r w:rsidRPr="00866277">
        <w:t>actelor</w:t>
      </w:r>
      <w:proofErr w:type="spellEnd"/>
      <w:r w:rsidRPr="00866277">
        <w:t xml:space="preserve"> de </w:t>
      </w:r>
      <w:proofErr w:type="spellStart"/>
      <w:r w:rsidRPr="00866277">
        <w:t>reglementare</w:t>
      </w:r>
      <w:proofErr w:type="spellEnd"/>
      <w:r w:rsidRPr="00866277">
        <w:t xml:space="preserve"> </w:t>
      </w:r>
      <w:proofErr w:type="spellStart"/>
      <w:r w:rsidRPr="00866277">
        <w:t>prin</w:t>
      </w:r>
      <w:proofErr w:type="spellEnd"/>
      <w:r w:rsidRPr="00866277">
        <w:t xml:space="preserve"> </w:t>
      </w:r>
      <w:proofErr w:type="spellStart"/>
      <w:r w:rsidRPr="00866277">
        <w:t>intermediul</w:t>
      </w:r>
      <w:proofErr w:type="spellEnd"/>
      <w:r w:rsidRPr="00866277">
        <w:t xml:space="preserve"> </w:t>
      </w:r>
      <w:proofErr w:type="spellStart"/>
      <w:r w:rsidRPr="00866277">
        <w:t>paginii</w:t>
      </w:r>
      <w:proofErr w:type="spellEnd"/>
      <w:r w:rsidRPr="00866277">
        <w:t xml:space="preserve"> web </w:t>
      </w:r>
      <w:proofErr w:type="spellStart"/>
      <w:r w:rsidRPr="00866277">
        <w:t>oficiale</w:t>
      </w:r>
      <w:proofErr w:type="spellEnd"/>
      <w:r w:rsidRPr="00866277">
        <w:t xml:space="preserve"> (</w:t>
      </w:r>
      <w:hyperlink r:id="rId12" w:history="1">
        <w:r w:rsidRPr="00866277">
          <w:rPr>
            <w:rStyle w:val="Hyperlink"/>
            <w:color w:val="auto"/>
          </w:rPr>
          <w:t>http://www.anrceti.md/</w:t>
        </w:r>
      </w:hyperlink>
      <w:r w:rsidRPr="00866277">
        <w:t xml:space="preserve">) a </w:t>
      </w:r>
      <w:proofErr w:type="spellStart"/>
      <w:r w:rsidRPr="00866277">
        <w:t>fost</w:t>
      </w:r>
      <w:proofErr w:type="spellEnd"/>
      <w:r w:rsidRPr="00866277">
        <w:t xml:space="preserve"> </w:t>
      </w:r>
      <w:proofErr w:type="spellStart"/>
      <w:r w:rsidRPr="00866277">
        <w:t>distribuită</w:t>
      </w:r>
      <w:proofErr w:type="spellEnd"/>
      <w:r w:rsidRPr="00866277">
        <w:t xml:space="preserve"> </w:t>
      </w:r>
      <w:proofErr w:type="spellStart"/>
      <w:r w:rsidRPr="00866277">
        <w:t>informația</w:t>
      </w:r>
      <w:proofErr w:type="spellEnd"/>
      <w:r w:rsidRPr="00866277">
        <w:t xml:space="preserve"> </w:t>
      </w:r>
      <w:proofErr w:type="spellStart"/>
      <w:r w:rsidRPr="00866277">
        <w:t>privind</w:t>
      </w:r>
      <w:proofErr w:type="spellEnd"/>
      <w:r w:rsidRPr="00866277">
        <w:t xml:space="preserve"> </w:t>
      </w:r>
      <w:proofErr w:type="spellStart"/>
      <w:r w:rsidRPr="00866277">
        <w:t>elaborarea</w:t>
      </w:r>
      <w:proofErr w:type="spellEnd"/>
      <w:r w:rsidRPr="00866277">
        <w:t xml:space="preserve"> </w:t>
      </w:r>
      <w:proofErr w:type="spellStart"/>
      <w:r w:rsidRPr="00866277">
        <w:t>și</w:t>
      </w:r>
      <w:proofErr w:type="spellEnd"/>
      <w:r w:rsidRPr="00866277">
        <w:t xml:space="preserve"> </w:t>
      </w:r>
      <w:proofErr w:type="spellStart"/>
      <w:r w:rsidRPr="00866277">
        <w:t>aprobarea</w:t>
      </w:r>
      <w:proofErr w:type="spellEnd"/>
      <w:r w:rsidRPr="00866277">
        <w:t xml:space="preserve"> </w:t>
      </w:r>
      <w:proofErr w:type="spellStart"/>
      <w:r w:rsidRPr="00866277">
        <w:t>Deciziei</w:t>
      </w:r>
      <w:proofErr w:type="spellEnd"/>
      <w:r w:rsidRPr="00866277">
        <w:t xml:space="preserve"> </w:t>
      </w:r>
      <w:proofErr w:type="spellStart"/>
      <w:r w:rsidRPr="00866277">
        <w:t>Consiliului</w:t>
      </w:r>
      <w:proofErr w:type="spellEnd"/>
      <w:r w:rsidRPr="00866277">
        <w:t xml:space="preserve"> de </w:t>
      </w:r>
      <w:proofErr w:type="spellStart"/>
      <w:r w:rsidRPr="00866277">
        <w:t>Administraţie</w:t>
      </w:r>
      <w:proofErr w:type="spellEnd"/>
      <w:r w:rsidRPr="00866277">
        <w:t xml:space="preserve"> al ANRCETI nr.47 din 07 august 2019 cu </w:t>
      </w:r>
      <w:proofErr w:type="spellStart"/>
      <w:r w:rsidRPr="00866277">
        <w:t>privire</w:t>
      </w:r>
      <w:proofErr w:type="spellEnd"/>
      <w:r w:rsidRPr="00866277">
        <w:t xml:space="preserve"> la </w:t>
      </w:r>
      <w:proofErr w:type="spellStart"/>
      <w:r w:rsidRPr="00866277">
        <w:t>aprobarea</w:t>
      </w:r>
      <w:proofErr w:type="spellEnd"/>
      <w:r w:rsidRPr="00866277">
        <w:t xml:space="preserve"> </w:t>
      </w:r>
      <w:proofErr w:type="spellStart"/>
      <w:r w:rsidRPr="00866277">
        <w:t>Ghidului</w:t>
      </w:r>
      <w:proofErr w:type="spellEnd"/>
      <w:r w:rsidRPr="00866277">
        <w:t xml:space="preserve"> </w:t>
      </w:r>
      <w:proofErr w:type="spellStart"/>
      <w:r w:rsidRPr="00866277">
        <w:t>pentru</w:t>
      </w:r>
      <w:proofErr w:type="spellEnd"/>
      <w:r w:rsidRPr="00866277">
        <w:t xml:space="preserve"> </w:t>
      </w:r>
      <w:proofErr w:type="spellStart"/>
      <w:r w:rsidRPr="00866277">
        <w:t>elaborarea</w:t>
      </w:r>
      <w:proofErr w:type="spellEnd"/>
      <w:r w:rsidRPr="00866277">
        <w:t xml:space="preserve"> </w:t>
      </w:r>
      <w:hyperlink r:id="rId13" w:history="1">
        <w:proofErr w:type="spellStart"/>
        <w:r w:rsidRPr="00866277">
          <w:rPr>
            <w:rStyle w:val="Hyperlink"/>
            <w:color w:val="auto"/>
          </w:rPr>
          <w:t>procedurii</w:t>
        </w:r>
        <w:proofErr w:type="spellEnd"/>
        <w:r w:rsidRPr="00866277">
          <w:rPr>
            <w:rStyle w:val="Hyperlink"/>
            <w:color w:val="auto"/>
          </w:rPr>
          <w:t xml:space="preserve"> </w:t>
        </w:r>
        <w:proofErr w:type="spellStart"/>
        <w:r w:rsidRPr="00866277">
          <w:rPr>
            <w:rStyle w:val="Hyperlink"/>
            <w:color w:val="auto"/>
          </w:rPr>
          <w:t>privind</w:t>
        </w:r>
        <w:proofErr w:type="spellEnd"/>
        <w:r w:rsidRPr="00866277">
          <w:rPr>
            <w:rStyle w:val="Hyperlink"/>
            <w:color w:val="auto"/>
          </w:rPr>
          <w:t xml:space="preserve"> </w:t>
        </w:r>
        <w:proofErr w:type="spellStart"/>
        <w:r w:rsidRPr="00866277">
          <w:rPr>
            <w:rStyle w:val="Hyperlink"/>
            <w:color w:val="auto"/>
          </w:rPr>
          <w:t>soluţionarea</w:t>
        </w:r>
        <w:proofErr w:type="spellEnd"/>
        <w:r w:rsidRPr="00866277">
          <w:rPr>
            <w:rStyle w:val="Hyperlink"/>
            <w:color w:val="auto"/>
          </w:rPr>
          <w:t xml:space="preserve"> </w:t>
        </w:r>
        <w:proofErr w:type="spellStart"/>
        <w:r w:rsidRPr="00866277">
          <w:rPr>
            <w:rStyle w:val="Hyperlink"/>
            <w:color w:val="auto"/>
          </w:rPr>
          <w:t>reclamaţiilor</w:t>
        </w:r>
        <w:proofErr w:type="spellEnd"/>
        <w:r w:rsidRPr="00866277">
          <w:rPr>
            <w:rStyle w:val="Hyperlink"/>
            <w:color w:val="auto"/>
          </w:rPr>
          <w:t xml:space="preserve"> </w:t>
        </w:r>
        <w:proofErr w:type="spellStart"/>
        <w:r w:rsidRPr="00866277">
          <w:rPr>
            <w:rStyle w:val="Hyperlink"/>
            <w:color w:val="auto"/>
          </w:rPr>
          <w:lastRenderedPageBreak/>
          <w:t>utilizatorilor</w:t>
        </w:r>
        <w:proofErr w:type="spellEnd"/>
        <w:r w:rsidRPr="00866277">
          <w:rPr>
            <w:rStyle w:val="Hyperlink"/>
            <w:color w:val="auto"/>
          </w:rPr>
          <w:t xml:space="preserve"> de </w:t>
        </w:r>
        <w:proofErr w:type="spellStart"/>
        <w:r w:rsidRPr="00866277">
          <w:rPr>
            <w:rStyle w:val="Hyperlink"/>
            <w:color w:val="auto"/>
          </w:rPr>
          <w:t>servicii</w:t>
        </w:r>
        <w:proofErr w:type="spellEnd"/>
        <w:r w:rsidRPr="00866277">
          <w:rPr>
            <w:rStyle w:val="Hyperlink"/>
            <w:color w:val="auto"/>
          </w:rPr>
          <w:t xml:space="preserve"> </w:t>
        </w:r>
        <w:proofErr w:type="spellStart"/>
        <w:r w:rsidRPr="00866277">
          <w:rPr>
            <w:rStyle w:val="Hyperlink"/>
            <w:color w:val="auto"/>
          </w:rPr>
          <w:t>poştale</w:t>
        </w:r>
        <w:proofErr w:type="spellEnd"/>
      </w:hyperlink>
      <w:r w:rsidRPr="00866277">
        <w:t xml:space="preserve">, document care </w:t>
      </w:r>
      <w:proofErr w:type="spellStart"/>
      <w:r w:rsidRPr="00866277">
        <w:t>conţine</w:t>
      </w:r>
      <w:proofErr w:type="spellEnd"/>
      <w:r w:rsidRPr="00866277">
        <w:t xml:space="preserve"> </w:t>
      </w:r>
      <w:proofErr w:type="spellStart"/>
      <w:r w:rsidRPr="00866277">
        <w:t>recomandări</w:t>
      </w:r>
      <w:proofErr w:type="spellEnd"/>
      <w:r w:rsidRPr="00866277">
        <w:t xml:space="preserve"> </w:t>
      </w:r>
      <w:proofErr w:type="spellStart"/>
      <w:r w:rsidRPr="00866277">
        <w:t>pentru</w:t>
      </w:r>
      <w:proofErr w:type="spellEnd"/>
      <w:r w:rsidRPr="00866277">
        <w:t xml:space="preserve"> </w:t>
      </w:r>
      <w:proofErr w:type="spellStart"/>
      <w:r w:rsidRPr="00866277">
        <w:t>furnizorii</w:t>
      </w:r>
      <w:proofErr w:type="spellEnd"/>
      <w:r w:rsidRPr="00866277">
        <w:t xml:space="preserve"> de </w:t>
      </w:r>
      <w:proofErr w:type="spellStart"/>
      <w:r w:rsidRPr="00866277">
        <w:t>servicii</w:t>
      </w:r>
      <w:proofErr w:type="spellEnd"/>
      <w:r w:rsidRPr="00866277">
        <w:t xml:space="preserve"> </w:t>
      </w:r>
      <w:proofErr w:type="spellStart"/>
      <w:r w:rsidRPr="00866277">
        <w:t>poştale</w:t>
      </w:r>
      <w:proofErr w:type="spellEnd"/>
      <w:r w:rsidRPr="00866277">
        <w:t xml:space="preserve">, </w:t>
      </w:r>
      <w:proofErr w:type="spellStart"/>
      <w:r w:rsidRPr="00866277">
        <w:t>în</w:t>
      </w:r>
      <w:proofErr w:type="spellEnd"/>
      <w:r w:rsidRPr="00866277">
        <w:t xml:space="preserve"> </w:t>
      </w:r>
      <w:proofErr w:type="spellStart"/>
      <w:r w:rsidRPr="00866277">
        <w:t>vederea</w:t>
      </w:r>
      <w:proofErr w:type="spellEnd"/>
      <w:r w:rsidRPr="00866277">
        <w:t xml:space="preserve"> </w:t>
      </w:r>
      <w:proofErr w:type="spellStart"/>
      <w:r w:rsidRPr="00866277">
        <w:t>elaborării</w:t>
      </w:r>
      <w:proofErr w:type="spellEnd"/>
      <w:r w:rsidRPr="00866277">
        <w:t xml:space="preserve"> </w:t>
      </w:r>
      <w:proofErr w:type="spellStart"/>
      <w:r w:rsidRPr="00866277">
        <w:t>procedurii</w:t>
      </w:r>
      <w:proofErr w:type="spellEnd"/>
      <w:r w:rsidRPr="00866277">
        <w:t xml:space="preserve"> respective.</w:t>
      </w:r>
      <w:proofErr w:type="gramEnd"/>
    </w:p>
    <w:p w:rsidR="001B1EA6" w:rsidRPr="00866277" w:rsidRDefault="001B1EA6" w:rsidP="00583426">
      <w:pPr>
        <w:ind w:firstLine="720"/>
        <w:jc w:val="both"/>
        <w:rPr>
          <w:lang w:val="ro-RO"/>
        </w:rPr>
      </w:pPr>
      <w:proofErr w:type="spellStart"/>
      <w:r w:rsidRPr="00866277">
        <w:t>Ghidul</w:t>
      </w:r>
      <w:proofErr w:type="spellEnd"/>
      <w:r w:rsidRPr="00866277">
        <w:t xml:space="preserve"> </w:t>
      </w:r>
      <w:proofErr w:type="spellStart"/>
      <w:r w:rsidRPr="00866277">
        <w:t>conține</w:t>
      </w:r>
      <w:proofErr w:type="spellEnd"/>
      <w:r w:rsidRPr="00866277">
        <w:t xml:space="preserve"> </w:t>
      </w:r>
      <w:proofErr w:type="spellStart"/>
      <w:r w:rsidRPr="00866277">
        <w:t>recomandări</w:t>
      </w:r>
      <w:proofErr w:type="spellEnd"/>
      <w:r w:rsidRPr="00866277">
        <w:t xml:space="preserve"> cu </w:t>
      </w:r>
      <w:proofErr w:type="spellStart"/>
      <w:r w:rsidRPr="00866277">
        <w:t>privire</w:t>
      </w:r>
      <w:proofErr w:type="spellEnd"/>
      <w:r w:rsidRPr="00866277">
        <w:t xml:space="preserve"> la: </w:t>
      </w:r>
      <w:proofErr w:type="spellStart"/>
      <w:r w:rsidRPr="00866277">
        <w:t>termenele</w:t>
      </w:r>
      <w:proofErr w:type="spellEnd"/>
      <w:r w:rsidRPr="00866277">
        <w:t xml:space="preserve"> de </w:t>
      </w:r>
      <w:proofErr w:type="spellStart"/>
      <w:r w:rsidRPr="00866277">
        <w:t>depunere</w:t>
      </w:r>
      <w:proofErr w:type="spellEnd"/>
      <w:r w:rsidRPr="00866277">
        <w:t xml:space="preserve"> </w:t>
      </w:r>
      <w:proofErr w:type="spellStart"/>
      <w:r w:rsidRPr="00866277">
        <w:t>şi</w:t>
      </w:r>
      <w:proofErr w:type="spellEnd"/>
      <w:r w:rsidRPr="00866277">
        <w:t xml:space="preserve"> </w:t>
      </w:r>
      <w:proofErr w:type="spellStart"/>
      <w:r w:rsidRPr="00866277">
        <w:t>soluţionare</w:t>
      </w:r>
      <w:proofErr w:type="spellEnd"/>
      <w:r w:rsidRPr="00866277">
        <w:t xml:space="preserve"> a </w:t>
      </w:r>
      <w:proofErr w:type="spellStart"/>
      <w:r w:rsidRPr="00866277">
        <w:t>reclamaţiilor</w:t>
      </w:r>
      <w:proofErr w:type="spellEnd"/>
      <w:r w:rsidRPr="00866277">
        <w:t xml:space="preserve">, </w:t>
      </w:r>
      <w:proofErr w:type="spellStart"/>
      <w:r w:rsidRPr="00866277">
        <w:t>modalitatea</w:t>
      </w:r>
      <w:proofErr w:type="spellEnd"/>
      <w:r w:rsidRPr="00866277">
        <w:t xml:space="preserve"> </w:t>
      </w:r>
      <w:proofErr w:type="spellStart"/>
      <w:r w:rsidRPr="00866277">
        <w:t>privind</w:t>
      </w:r>
      <w:proofErr w:type="spellEnd"/>
      <w:r w:rsidRPr="00866277">
        <w:t xml:space="preserve"> </w:t>
      </w:r>
      <w:proofErr w:type="spellStart"/>
      <w:r w:rsidRPr="00866277">
        <w:t>depunerea</w:t>
      </w:r>
      <w:proofErr w:type="spellEnd"/>
      <w:r w:rsidRPr="00866277">
        <w:t xml:space="preserve"> </w:t>
      </w:r>
      <w:proofErr w:type="spellStart"/>
      <w:r w:rsidRPr="00866277">
        <w:t>lor</w:t>
      </w:r>
      <w:proofErr w:type="spellEnd"/>
      <w:r w:rsidRPr="00866277">
        <w:t xml:space="preserve">, </w:t>
      </w:r>
      <w:proofErr w:type="spellStart"/>
      <w:r w:rsidRPr="00866277">
        <w:t>modalităţi</w:t>
      </w:r>
      <w:proofErr w:type="spellEnd"/>
      <w:r w:rsidRPr="00866277">
        <w:t xml:space="preserve"> de </w:t>
      </w:r>
      <w:proofErr w:type="spellStart"/>
      <w:r w:rsidRPr="00866277">
        <w:t>comunicare</w:t>
      </w:r>
      <w:proofErr w:type="spellEnd"/>
      <w:r w:rsidRPr="00866277">
        <w:t xml:space="preserve"> </w:t>
      </w:r>
      <w:proofErr w:type="gramStart"/>
      <w:r w:rsidRPr="00866277">
        <w:t>a</w:t>
      </w:r>
      <w:proofErr w:type="gramEnd"/>
      <w:r w:rsidRPr="00866277">
        <w:t xml:space="preserve"> </w:t>
      </w:r>
      <w:proofErr w:type="spellStart"/>
      <w:r w:rsidRPr="00866277">
        <w:t>răspunsului</w:t>
      </w:r>
      <w:proofErr w:type="spellEnd"/>
      <w:r w:rsidRPr="00866277">
        <w:t xml:space="preserve"> la </w:t>
      </w:r>
      <w:proofErr w:type="spellStart"/>
      <w:r w:rsidRPr="00866277">
        <w:t>reclamaţie</w:t>
      </w:r>
      <w:proofErr w:type="spellEnd"/>
      <w:r w:rsidRPr="00866277">
        <w:t xml:space="preserve">, </w:t>
      </w:r>
      <w:proofErr w:type="spellStart"/>
      <w:r w:rsidRPr="00866277">
        <w:t>despăgubiri</w:t>
      </w:r>
      <w:proofErr w:type="spellEnd"/>
      <w:r w:rsidRPr="00866277">
        <w:t xml:space="preserve">, </w:t>
      </w:r>
      <w:proofErr w:type="spellStart"/>
      <w:r w:rsidRPr="00866277">
        <w:t>litigii</w:t>
      </w:r>
      <w:proofErr w:type="spellEnd"/>
      <w:r w:rsidRPr="00866277">
        <w:t xml:space="preserve"> etc. </w:t>
      </w:r>
      <w:proofErr w:type="spellStart"/>
      <w:r w:rsidRPr="00866277">
        <w:t>În</w:t>
      </w:r>
      <w:proofErr w:type="spellEnd"/>
      <w:r w:rsidRPr="00866277">
        <w:t xml:space="preserve"> </w:t>
      </w:r>
      <w:proofErr w:type="spellStart"/>
      <w:r w:rsidRPr="00866277">
        <w:t>urma</w:t>
      </w:r>
      <w:proofErr w:type="spellEnd"/>
      <w:r w:rsidRPr="00866277">
        <w:t xml:space="preserve"> </w:t>
      </w:r>
      <w:proofErr w:type="spellStart"/>
      <w:r w:rsidRPr="00866277">
        <w:t>aprobării</w:t>
      </w:r>
      <w:proofErr w:type="spellEnd"/>
      <w:r w:rsidRPr="00866277">
        <w:t xml:space="preserve"> </w:t>
      </w:r>
      <w:proofErr w:type="spellStart"/>
      <w:r w:rsidRPr="00866277">
        <w:t>Deciziei</w:t>
      </w:r>
      <w:proofErr w:type="spellEnd"/>
      <w:r w:rsidRPr="00866277">
        <w:t xml:space="preserve"> </w:t>
      </w:r>
      <w:proofErr w:type="spellStart"/>
      <w:r w:rsidRPr="00866277">
        <w:t>Consiliului</w:t>
      </w:r>
      <w:proofErr w:type="spellEnd"/>
      <w:r w:rsidRPr="00866277">
        <w:t xml:space="preserve"> de </w:t>
      </w:r>
      <w:proofErr w:type="spellStart"/>
      <w:r w:rsidRPr="00866277">
        <w:t>Administrație</w:t>
      </w:r>
      <w:proofErr w:type="spellEnd"/>
      <w:r w:rsidRPr="00866277">
        <w:t xml:space="preserve">, </w:t>
      </w:r>
      <w:proofErr w:type="spellStart"/>
      <w:r w:rsidRPr="00866277">
        <w:t>furnizorii</w:t>
      </w:r>
      <w:proofErr w:type="spellEnd"/>
      <w:r w:rsidRPr="00866277">
        <w:t xml:space="preserve"> de </w:t>
      </w:r>
      <w:proofErr w:type="spellStart"/>
      <w:r w:rsidRPr="00866277">
        <w:t>servicii</w:t>
      </w:r>
      <w:proofErr w:type="spellEnd"/>
      <w:r w:rsidRPr="00866277">
        <w:t xml:space="preserve"> </w:t>
      </w:r>
      <w:proofErr w:type="spellStart"/>
      <w:r w:rsidRPr="00866277">
        <w:t>poştale</w:t>
      </w:r>
      <w:proofErr w:type="spellEnd"/>
      <w:r w:rsidRPr="00866277">
        <w:t xml:space="preserve"> care n-au </w:t>
      </w:r>
      <w:proofErr w:type="spellStart"/>
      <w:r w:rsidRPr="00866277">
        <w:t>elaborat</w:t>
      </w:r>
      <w:proofErr w:type="spellEnd"/>
      <w:r w:rsidRPr="00866277">
        <w:t xml:space="preserve"> </w:t>
      </w:r>
      <w:proofErr w:type="spellStart"/>
      <w:r w:rsidRPr="00866277">
        <w:t>procedura</w:t>
      </w:r>
      <w:proofErr w:type="spellEnd"/>
      <w:r w:rsidRPr="00866277">
        <w:t xml:space="preserve"> </w:t>
      </w:r>
      <w:proofErr w:type="spellStart"/>
      <w:r w:rsidRPr="00866277">
        <w:t>privind</w:t>
      </w:r>
      <w:proofErr w:type="spellEnd"/>
      <w:r w:rsidRPr="00866277">
        <w:t xml:space="preserve"> </w:t>
      </w:r>
      <w:proofErr w:type="spellStart"/>
      <w:r w:rsidRPr="00866277">
        <w:t>soluţionarea</w:t>
      </w:r>
      <w:proofErr w:type="spellEnd"/>
      <w:r w:rsidRPr="00866277">
        <w:t xml:space="preserve"> </w:t>
      </w:r>
      <w:proofErr w:type="spellStart"/>
      <w:r w:rsidRPr="00866277">
        <w:t>reclamaţiilor</w:t>
      </w:r>
      <w:proofErr w:type="spellEnd"/>
      <w:r w:rsidRPr="00866277">
        <w:t xml:space="preserve"> </w:t>
      </w:r>
      <w:proofErr w:type="spellStart"/>
      <w:r w:rsidRPr="00866277">
        <w:t>utilizatorilor</w:t>
      </w:r>
      <w:proofErr w:type="spellEnd"/>
      <w:r w:rsidRPr="00866277">
        <w:t xml:space="preserve"> de </w:t>
      </w:r>
      <w:proofErr w:type="spellStart"/>
      <w:r w:rsidRPr="00866277">
        <w:t>servicii</w:t>
      </w:r>
      <w:proofErr w:type="spellEnd"/>
      <w:r w:rsidRPr="00866277">
        <w:t xml:space="preserve"> </w:t>
      </w:r>
      <w:proofErr w:type="spellStart"/>
      <w:r w:rsidRPr="00866277">
        <w:t>poştale</w:t>
      </w:r>
      <w:proofErr w:type="spellEnd"/>
      <w:r w:rsidRPr="00866277">
        <w:t xml:space="preserve">, </w:t>
      </w:r>
      <w:proofErr w:type="spellStart"/>
      <w:r w:rsidRPr="00866277">
        <w:t>vor</w:t>
      </w:r>
      <w:proofErr w:type="spellEnd"/>
      <w:r w:rsidRPr="00866277">
        <w:t xml:space="preserve"> </w:t>
      </w:r>
      <w:proofErr w:type="spellStart"/>
      <w:r w:rsidRPr="00866277">
        <w:t>elabora</w:t>
      </w:r>
      <w:proofErr w:type="spellEnd"/>
      <w:r w:rsidRPr="00866277">
        <w:t xml:space="preserve"> </w:t>
      </w:r>
      <w:proofErr w:type="spellStart"/>
      <w:r w:rsidRPr="00866277">
        <w:t>procedurile</w:t>
      </w:r>
      <w:proofErr w:type="spellEnd"/>
      <w:r w:rsidRPr="00866277">
        <w:t xml:space="preserve"> respective </w:t>
      </w:r>
      <w:proofErr w:type="spellStart"/>
      <w:r w:rsidRPr="00866277">
        <w:t>ţinând</w:t>
      </w:r>
      <w:proofErr w:type="spellEnd"/>
      <w:r w:rsidRPr="00866277">
        <w:t xml:space="preserve"> </w:t>
      </w:r>
      <w:proofErr w:type="spellStart"/>
      <w:r w:rsidRPr="00866277">
        <w:t>cont</w:t>
      </w:r>
      <w:proofErr w:type="spellEnd"/>
      <w:r w:rsidRPr="00866277">
        <w:t xml:space="preserve"> de </w:t>
      </w:r>
      <w:proofErr w:type="spellStart"/>
      <w:r w:rsidRPr="00866277">
        <w:t>recomandările</w:t>
      </w:r>
      <w:proofErr w:type="spellEnd"/>
      <w:r w:rsidRPr="00866277">
        <w:t xml:space="preserve"> din </w:t>
      </w:r>
      <w:proofErr w:type="spellStart"/>
      <w:r w:rsidRPr="00866277">
        <w:t>ghidul</w:t>
      </w:r>
      <w:proofErr w:type="spellEnd"/>
      <w:r w:rsidRPr="00866277">
        <w:t xml:space="preserve"> </w:t>
      </w:r>
      <w:proofErr w:type="spellStart"/>
      <w:r w:rsidRPr="00866277">
        <w:t>menţionat</w:t>
      </w:r>
      <w:proofErr w:type="spellEnd"/>
      <w:r w:rsidRPr="00866277">
        <w:t>.</w:t>
      </w:r>
    </w:p>
    <w:p w:rsidR="001B1EA6" w:rsidRPr="00866277" w:rsidRDefault="001B1EA6" w:rsidP="00583426">
      <w:pPr>
        <w:ind w:firstLine="720"/>
        <w:jc w:val="both"/>
        <w:rPr>
          <w:iCs/>
          <w:lang w:val="ro-RO"/>
        </w:rPr>
      </w:pPr>
      <w:r w:rsidRPr="00866277">
        <w:rPr>
          <w:iCs/>
          <w:lang w:val="ro-RO"/>
        </w:rPr>
        <w:t>În același timp, ANRCETI, a continuat activitatea de monitorizare și verificare a respectării de către furnizori a prevederilor mai multor acte normative ce au ca obiect drepturile utilizatorilor, și anume:</w:t>
      </w:r>
    </w:p>
    <w:p w:rsidR="001B1EA6" w:rsidRPr="00866277" w:rsidRDefault="001B1EA6" w:rsidP="00583426">
      <w:pPr>
        <w:ind w:firstLine="720"/>
        <w:jc w:val="both"/>
        <w:rPr>
          <w:lang w:val="ro-RO"/>
        </w:rPr>
      </w:pPr>
      <w:r w:rsidRPr="00866277">
        <w:rPr>
          <w:iCs/>
          <w:lang w:val="ro-RO"/>
        </w:rPr>
        <w:t xml:space="preserve">1) Regulamentul cu privire la furnizarea serviciilor publice de comunicații electronice, aprobat prin </w:t>
      </w:r>
      <w:r w:rsidRPr="00866277">
        <w:rPr>
          <w:lang w:val="ro-RO"/>
        </w:rPr>
        <w:t xml:space="preserve">Hotărârea </w:t>
      </w:r>
      <w:r w:rsidRPr="00866277">
        <w:rPr>
          <w:lang w:val="ro-RO" w:eastAsia="ro-RO"/>
        </w:rPr>
        <w:t xml:space="preserve">Consiliului de </w:t>
      </w:r>
      <w:proofErr w:type="spellStart"/>
      <w:r w:rsidRPr="00866277">
        <w:rPr>
          <w:lang w:val="ro-RO" w:eastAsia="ro-RO"/>
        </w:rPr>
        <w:t>Administraţie</w:t>
      </w:r>
      <w:proofErr w:type="spellEnd"/>
      <w:r w:rsidRPr="00866277">
        <w:rPr>
          <w:lang w:val="ro-RO" w:eastAsia="ro-RO"/>
        </w:rPr>
        <w:t xml:space="preserve"> al ANRCETI </w:t>
      </w:r>
      <w:r w:rsidRPr="00866277">
        <w:rPr>
          <w:iCs/>
          <w:lang w:val="ro-RO"/>
        </w:rPr>
        <w:t xml:space="preserve">nr. 48 din 24.09.2013 care stabilește un set de norme de protecție a drepturilor utilizatorilor de servicii de </w:t>
      </w:r>
      <w:proofErr w:type="spellStart"/>
      <w:r w:rsidRPr="00866277">
        <w:rPr>
          <w:iCs/>
          <w:lang w:val="ro-RO"/>
        </w:rPr>
        <w:t>comunicaţii</w:t>
      </w:r>
      <w:proofErr w:type="spellEnd"/>
      <w:r w:rsidRPr="00866277">
        <w:rPr>
          <w:iCs/>
          <w:lang w:val="ro-RO"/>
        </w:rPr>
        <w:t xml:space="preserve"> electronice.</w:t>
      </w:r>
      <w:r w:rsidRPr="00866277">
        <w:rPr>
          <w:b/>
          <w:bCs/>
          <w:lang w:val="ro-RO"/>
        </w:rPr>
        <w:t xml:space="preserve"> </w:t>
      </w:r>
      <w:r w:rsidRPr="00866277">
        <w:rPr>
          <w:bCs/>
          <w:lang w:val="ro-RO"/>
        </w:rPr>
        <w:t xml:space="preserve">Astfel, în demararea procedurii de control, inspectorii ANRCETI verifică veridicitatea </w:t>
      </w:r>
      <w:proofErr w:type="spellStart"/>
      <w:r w:rsidRPr="00866277">
        <w:rPr>
          <w:bCs/>
          <w:lang w:val="ro-RO"/>
        </w:rPr>
        <w:t>şi</w:t>
      </w:r>
      <w:proofErr w:type="spellEnd"/>
      <w:r w:rsidRPr="00866277">
        <w:rPr>
          <w:bCs/>
          <w:lang w:val="ro-RO"/>
        </w:rPr>
        <w:t xml:space="preserve"> corectitudinea prevederilor contractuale stabilite între furnizor </w:t>
      </w:r>
      <w:proofErr w:type="spellStart"/>
      <w:r w:rsidRPr="00866277">
        <w:rPr>
          <w:bCs/>
          <w:lang w:val="ro-RO"/>
        </w:rPr>
        <w:t>şi</w:t>
      </w:r>
      <w:proofErr w:type="spellEnd"/>
      <w:r w:rsidRPr="00866277">
        <w:rPr>
          <w:bCs/>
          <w:lang w:val="ro-RO"/>
        </w:rPr>
        <w:t xml:space="preserve"> utilizator prin prisma </w:t>
      </w:r>
      <w:proofErr w:type="spellStart"/>
      <w:r w:rsidRPr="00866277">
        <w:rPr>
          <w:bCs/>
          <w:lang w:val="ro-RO"/>
        </w:rPr>
        <w:t>protecţiei</w:t>
      </w:r>
      <w:proofErr w:type="spellEnd"/>
      <w:r w:rsidRPr="00866277">
        <w:rPr>
          <w:bCs/>
          <w:lang w:val="ro-RO"/>
        </w:rPr>
        <w:t xml:space="preserve"> celor din urmă, întru asigurarea de către furnizori a </w:t>
      </w:r>
      <w:proofErr w:type="spellStart"/>
      <w:r w:rsidRPr="00866277">
        <w:rPr>
          <w:bCs/>
          <w:lang w:val="ro-RO"/>
        </w:rPr>
        <w:t>transparenţei</w:t>
      </w:r>
      <w:proofErr w:type="spellEnd"/>
      <w:r w:rsidRPr="00866277">
        <w:rPr>
          <w:bCs/>
          <w:lang w:val="ro-RO"/>
        </w:rPr>
        <w:t xml:space="preserve"> tarifelor </w:t>
      </w:r>
      <w:proofErr w:type="spellStart"/>
      <w:r w:rsidRPr="00866277">
        <w:rPr>
          <w:bCs/>
          <w:lang w:val="ro-RO"/>
        </w:rPr>
        <w:t>şi</w:t>
      </w:r>
      <w:proofErr w:type="spellEnd"/>
      <w:r w:rsidRPr="00866277">
        <w:rPr>
          <w:bCs/>
          <w:lang w:val="ro-RO"/>
        </w:rPr>
        <w:t xml:space="preserve"> </w:t>
      </w:r>
      <w:proofErr w:type="spellStart"/>
      <w:r w:rsidRPr="00866277">
        <w:rPr>
          <w:bCs/>
          <w:lang w:val="ro-RO"/>
        </w:rPr>
        <w:t>condiţiilor</w:t>
      </w:r>
      <w:proofErr w:type="spellEnd"/>
      <w:r w:rsidRPr="00866277">
        <w:rPr>
          <w:bCs/>
          <w:lang w:val="ro-RO"/>
        </w:rPr>
        <w:t xml:space="preserve"> de furnizare </w:t>
      </w:r>
      <w:proofErr w:type="spellStart"/>
      <w:r w:rsidRPr="00866277">
        <w:rPr>
          <w:bCs/>
          <w:lang w:val="ro-RO"/>
        </w:rPr>
        <w:t>şi</w:t>
      </w:r>
      <w:proofErr w:type="spellEnd"/>
      <w:r w:rsidRPr="00866277">
        <w:rPr>
          <w:bCs/>
          <w:lang w:val="ro-RO"/>
        </w:rPr>
        <w:t xml:space="preserve"> utilizare a serviciilor, </w:t>
      </w:r>
      <w:r w:rsidRPr="00866277">
        <w:rPr>
          <w:lang w:val="ro-RO"/>
        </w:rPr>
        <w:t>pe respectarea obligației de informare a utilizatorilor de servicii despre aceste tarife și condiții, precum și pe ajustarea contractelor standard la cerințele actelor normative cu scopul de a preveni includerea în contractele de furnizare a serviciilor de comunicații electronice a clauzelor abuzive în raport cu utilizatorii acestor servicii;</w:t>
      </w:r>
    </w:p>
    <w:p w:rsidR="001B1EA6" w:rsidRPr="00866277" w:rsidRDefault="001B1EA6" w:rsidP="00583426">
      <w:pPr>
        <w:ind w:firstLine="720"/>
        <w:jc w:val="both"/>
        <w:rPr>
          <w:lang w:val="ro-RO" w:eastAsia="ro-RO"/>
        </w:rPr>
      </w:pPr>
      <w:r w:rsidRPr="00866277">
        <w:rPr>
          <w:lang w:val="ro-RO" w:eastAsia="ro-RO"/>
        </w:rPr>
        <w:t xml:space="preserve">2) Recomandările privind </w:t>
      </w:r>
      <w:proofErr w:type="spellStart"/>
      <w:r w:rsidRPr="00866277">
        <w:rPr>
          <w:lang w:val="ro-RO" w:eastAsia="ro-RO"/>
        </w:rPr>
        <w:t>autoreglementarea</w:t>
      </w:r>
      <w:proofErr w:type="spellEnd"/>
      <w:r w:rsidRPr="00866277">
        <w:rPr>
          <w:lang w:val="ro-RO" w:eastAsia="ro-RO"/>
        </w:rPr>
        <w:t xml:space="preserve"> serviciului de filtrare a conținutului din Internet cu impact negativ asupra copiilor prestat de către furnizorii serviciilor de acces la Internet, aprobate prin </w:t>
      </w:r>
      <w:r w:rsidRPr="00866277">
        <w:rPr>
          <w:lang w:val="ro-RO"/>
        </w:rPr>
        <w:t xml:space="preserve">Hotărârea </w:t>
      </w:r>
      <w:r w:rsidRPr="00866277">
        <w:rPr>
          <w:lang w:val="ro-RO" w:eastAsia="ro-RO"/>
        </w:rPr>
        <w:t xml:space="preserve">Consiliului de </w:t>
      </w:r>
      <w:proofErr w:type="spellStart"/>
      <w:r w:rsidRPr="00866277">
        <w:rPr>
          <w:lang w:val="ro-RO" w:eastAsia="ro-RO"/>
        </w:rPr>
        <w:t>Administraţie</w:t>
      </w:r>
      <w:proofErr w:type="spellEnd"/>
      <w:r w:rsidRPr="00866277">
        <w:rPr>
          <w:lang w:val="ro-RO" w:eastAsia="ro-RO"/>
        </w:rPr>
        <w:t xml:space="preserve"> al ANRCETI nr. 15 din 04 mai 2018, care au drept scop asigurarea posibilității protejării de către persoanele interesate a minorilor de influența dăunătoare a unor informații accesate din Internet. Astfel, furnizorii serviciilor de acces la Internet au plasat ghidurile elaborate pe paginile lor web oficiale și în centrele lor comerciale și, în permanență, asigura accesul utilizatorilor la informația respectivă. Totodată, furnizorii vizați, periodic actualizează informația relevantă, odată cu apariția unor noi instrumente și/sau metode de </w:t>
      </w:r>
      <w:proofErr w:type="spellStart"/>
      <w:r w:rsidRPr="00866277">
        <w:rPr>
          <w:lang w:val="ro-RO" w:eastAsia="ro-RO"/>
        </w:rPr>
        <w:t>autoreglementare</w:t>
      </w:r>
      <w:proofErr w:type="spellEnd"/>
      <w:r w:rsidRPr="00866277">
        <w:rPr>
          <w:lang w:val="ro-RO" w:eastAsia="ro-RO"/>
        </w:rPr>
        <w:t xml:space="preserve"> a serviciului de filtrare a </w:t>
      </w:r>
      <w:proofErr w:type="spellStart"/>
      <w:r w:rsidRPr="00866277">
        <w:rPr>
          <w:lang w:val="ro-RO" w:eastAsia="ro-RO"/>
        </w:rPr>
        <w:t>conţinutului</w:t>
      </w:r>
      <w:proofErr w:type="spellEnd"/>
      <w:r w:rsidRPr="00866277">
        <w:rPr>
          <w:lang w:val="ro-RO" w:eastAsia="ro-RO"/>
        </w:rPr>
        <w:t xml:space="preserve"> din Internet cu impact negativ asupra copiilor;</w:t>
      </w:r>
    </w:p>
    <w:p w:rsidR="001B1EA6" w:rsidRPr="00866277" w:rsidRDefault="001B1EA6" w:rsidP="00583426">
      <w:pPr>
        <w:ind w:firstLine="720"/>
        <w:jc w:val="both"/>
      </w:pPr>
      <w:r w:rsidRPr="00866277">
        <w:t xml:space="preserve">3) </w:t>
      </w:r>
      <w:proofErr w:type="spellStart"/>
      <w:r w:rsidRPr="00866277">
        <w:t>Cerințele</w:t>
      </w:r>
      <w:proofErr w:type="spellEnd"/>
      <w:r w:rsidRPr="00866277">
        <w:t xml:space="preserve"> </w:t>
      </w:r>
      <w:proofErr w:type="spellStart"/>
      <w:r w:rsidRPr="00866277">
        <w:t>și</w:t>
      </w:r>
      <w:proofErr w:type="spellEnd"/>
      <w:r w:rsidRPr="00866277">
        <w:t xml:space="preserve"> </w:t>
      </w:r>
      <w:proofErr w:type="spellStart"/>
      <w:r w:rsidRPr="00866277">
        <w:t>măsurile</w:t>
      </w:r>
      <w:proofErr w:type="spellEnd"/>
      <w:r w:rsidRPr="00866277">
        <w:t xml:space="preserve"> </w:t>
      </w:r>
      <w:proofErr w:type="spellStart"/>
      <w:r w:rsidRPr="00866277">
        <w:t>necesare</w:t>
      </w:r>
      <w:proofErr w:type="spellEnd"/>
      <w:r w:rsidRPr="00866277">
        <w:t xml:space="preserve"> </w:t>
      </w:r>
      <w:proofErr w:type="spellStart"/>
      <w:r w:rsidRPr="00866277">
        <w:t>pentru</w:t>
      </w:r>
      <w:proofErr w:type="spellEnd"/>
      <w:r w:rsidRPr="00866277">
        <w:t xml:space="preserve"> ca </w:t>
      </w:r>
      <w:proofErr w:type="spellStart"/>
      <w:r w:rsidRPr="00866277">
        <w:t>utilizatorii</w:t>
      </w:r>
      <w:proofErr w:type="spellEnd"/>
      <w:r w:rsidRPr="00866277">
        <w:t xml:space="preserve"> cu </w:t>
      </w:r>
      <w:proofErr w:type="spellStart"/>
      <w:r w:rsidRPr="00866277">
        <w:t>dezabilități</w:t>
      </w:r>
      <w:proofErr w:type="spellEnd"/>
      <w:r w:rsidRPr="00866277">
        <w:t xml:space="preserve"> </w:t>
      </w:r>
      <w:proofErr w:type="spellStart"/>
      <w:proofErr w:type="gramStart"/>
      <w:r w:rsidRPr="00866277">
        <w:t>să</w:t>
      </w:r>
      <w:proofErr w:type="spellEnd"/>
      <w:proofErr w:type="gramEnd"/>
      <w:r w:rsidRPr="00866277">
        <w:t xml:space="preserve"> </w:t>
      </w:r>
      <w:proofErr w:type="spellStart"/>
      <w:r w:rsidRPr="00866277">
        <w:t>beneficieze</w:t>
      </w:r>
      <w:proofErr w:type="spellEnd"/>
      <w:r w:rsidRPr="00866277">
        <w:t xml:space="preserve"> de </w:t>
      </w:r>
      <w:proofErr w:type="spellStart"/>
      <w:r w:rsidRPr="00866277">
        <w:t>acces</w:t>
      </w:r>
      <w:proofErr w:type="spellEnd"/>
      <w:r w:rsidRPr="00866277">
        <w:t xml:space="preserve"> </w:t>
      </w:r>
      <w:proofErr w:type="spellStart"/>
      <w:r w:rsidRPr="00866277">
        <w:t>echivalent</w:t>
      </w:r>
      <w:proofErr w:type="spellEnd"/>
      <w:r w:rsidRPr="00866277">
        <w:t xml:space="preserve"> la </w:t>
      </w:r>
      <w:proofErr w:type="spellStart"/>
      <w:r w:rsidRPr="00866277">
        <w:t>serviciile</w:t>
      </w:r>
      <w:proofErr w:type="spellEnd"/>
      <w:r w:rsidRPr="00866277">
        <w:t xml:space="preserve"> de </w:t>
      </w:r>
      <w:proofErr w:type="spellStart"/>
      <w:r w:rsidRPr="00866277">
        <w:t>comunicații</w:t>
      </w:r>
      <w:proofErr w:type="spellEnd"/>
      <w:r w:rsidRPr="00866277">
        <w:t xml:space="preserve"> </w:t>
      </w:r>
      <w:proofErr w:type="spellStart"/>
      <w:r w:rsidRPr="00866277">
        <w:t>electronice</w:t>
      </w:r>
      <w:proofErr w:type="spellEnd"/>
      <w:r w:rsidRPr="00866277">
        <w:t xml:space="preserve"> </w:t>
      </w:r>
      <w:proofErr w:type="spellStart"/>
      <w:r w:rsidRPr="00866277">
        <w:t>accesibile</w:t>
      </w:r>
      <w:proofErr w:type="spellEnd"/>
      <w:r w:rsidRPr="00866277">
        <w:t xml:space="preserve"> </w:t>
      </w:r>
      <w:proofErr w:type="spellStart"/>
      <w:r w:rsidRPr="00866277">
        <w:t>publicului</w:t>
      </w:r>
      <w:proofErr w:type="spellEnd"/>
      <w:r w:rsidRPr="00866277">
        <w:t xml:space="preserve">, </w:t>
      </w:r>
      <w:proofErr w:type="spellStart"/>
      <w:r w:rsidRPr="00866277">
        <w:t>aprobate</w:t>
      </w:r>
      <w:proofErr w:type="spellEnd"/>
      <w:r w:rsidRPr="00866277">
        <w:t xml:space="preserve"> </w:t>
      </w:r>
      <w:proofErr w:type="spellStart"/>
      <w:r w:rsidRPr="00866277">
        <w:t>prin</w:t>
      </w:r>
      <w:proofErr w:type="spellEnd"/>
      <w:r w:rsidRPr="00866277">
        <w:t xml:space="preserve"> </w:t>
      </w:r>
      <w:proofErr w:type="spellStart"/>
      <w:r w:rsidRPr="00866277">
        <w:t>Hotărârea</w:t>
      </w:r>
      <w:proofErr w:type="spellEnd"/>
      <w:r w:rsidRPr="00866277">
        <w:t xml:space="preserve"> </w:t>
      </w:r>
      <w:proofErr w:type="spellStart"/>
      <w:r w:rsidRPr="00866277">
        <w:t>Consiliului</w:t>
      </w:r>
      <w:proofErr w:type="spellEnd"/>
      <w:r w:rsidRPr="00866277">
        <w:t xml:space="preserve"> de </w:t>
      </w:r>
      <w:proofErr w:type="spellStart"/>
      <w:r w:rsidRPr="00866277">
        <w:t>Administraţie</w:t>
      </w:r>
      <w:proofErr w:type="spellEnd"/>
      <w:r w:rsidRPr="00866277">
        <w:t xml:space="preserve"> al ANRCETI </w:t>
      </w:r>
      <w:proofErr w:type="spellStart"/>
      <w:r w:rsidRPr="00866277">
        <w:t>nr</w:t>
      </w:r>
      <w:proofErr w:type="spellEnd"/>
      <w:r w:rsidRPr="00866277">
        <w:t xml:space="preserve">. 58 din 14 </w:t>
      </w:r>
      <w:proofErr w:type="spellStart"/>
      <w:r w:rsidRPr="00866277">
        <w:t>decembrie</w:t>
      </w:r>
      <w:proofErr w:type="spellEnd"/>
      <w:r w:rsidRPr="00866277">
        <w:t xml:space="preserve"> 2018, care au </w:t>
      </w:r>
      <w:proofErr w:type="spellStart"/>
      <w:r w:rsidRPr="00866277">
        <w:t>stabilit</w:t>
      </w:r>
      <w:proofErr w:type="spellEnd"/>
      <w:r w:rsidRPr="00866277">
        <w:t xml:space="preserve"> </w:t>
      </w:r>
      <w:proofErr w:type="spellStart"/>
      <w:r w:rsidRPr="00866277">
        <w:t>anumite</w:t>
      </w:r>
      <w:proofErr w:type="spellEnd"/>
      <w:r w:rsidRPr="00866277">
        <w:t xml:space="preserve"> </w:t>
      </w:r>
      <w:proofErr w:type="spellStart"/>
      <w:r w:rsidRPr="00866277">
        <w:t>măsuri</w:t>
      </w:r>
      <w:proofErr w:type="spellEnd"/>
      <w:r w:rsidRPr="00866277">
        <w:t xml:space="preserve"> </w:t>
      </w:r>
      <w:proofErr w:type="spellStart"/>
      <w:r w:rsidRPr="00866277">
        <w:t>speciale</w:t>
      </w:r>
      <w:proofErr w:type="spellEnd"/>
      <w:r w:rsidRPr="00866277">
        <w:t xml:space="preserve"> </w:t>
      </w:r>
      <w:proofErr w:type="spellStart"/>
      <w:r w:rsidRPr="00866277">
        <w:t>și</w:t>
      </w:r>
      <w:proofErr w:type="spellEnd"/>
      <w:r w:rsidRPr="00866277">
        <w:t xml:space="preserve"> au </w:t>
      </w:r>
      <w:proofErr w:type="spellStart"/>
      <w:r w:rsidRPr="00866277">
        <w:t>obligat</w:t>
      </w:r>
      <w:proofErr w:type="spellEnd"/>
      <w:r w:rsidRPr="00866277">
        <w:t xml:space="preserve"> </w:t>
      </w:r>
      <w:proofErr w:type="spellStart"/>
      <w:r w:rsidRPr="00866277">
        <w:t>furnizorii</w:t>
      </w:r>
      <w:proofErr w:type="spellEnd"/>
      <w:r w:rsidRPr="00866277">
        <w:t xml:space="preserve"> de a le </w:t>
      </w:r>
      <w:proofErr w:type="spellStart"/>
      <w:r w:rsidRPr="00866277">
        <w:t>implementa</w:t>
      </w:r>
      <w:proofErr w:type="spellEnd"/>
      <w:r w:rsidRPr="00866277">
        <w:t xml:space="preserve">, </w:t>
      </w:r>
      <w:proofErr w:type="spellStart"/>
      <w:r w:rsidRPr="00866277">
        <w:t>astfel</w:t>
      </w:r>
      <w:proofErr w:type="spellEnd"/>
      <w:r w:rsidRPr="00866277">
        <w:t xml:space="preserve"> </w:t>
      </w:r>
      <w:proofErr w:type="spellStart"/>
      <w:r w:rsidRPr="00866277">
        <w:t>încât</w:t>
      </w:r>
      <w:proofErr w:type="spellEnd"/>
      <w:r w:rsidRPr="00866277">
        <w:t xml:space="preserve">, </w:t>
      </w:r>
      <w:proofErr w:type="spellStart"/>
      <w:r w:rsidRPr="00866277">
        <w:t>persoanele</w:t>
      </w:r>
      <w:proofErr w:type="spellEnd"/>
      <w:r w:rsidRPr="00866277">
        <w:t xml:space="preserve"> cu </w:t>
      </w:r>
      <w:proofErr w:type="spellStart"/>
      <w:r w:rsidRPr="00866277">
        <w:t>dezabilități</w:t>
      </w:r>
      <w:proofErr w:type="spellEnd"/>
      <w:r w:rsidRPr="00866277">
        <w:t xml:space="preserve"> </w:t>
      </w:r>
      <w:proofErr w:type="spellStart"/>
      <w:proofErr w:type="gramStart"/>
      <w:r w:rsidRPr="00866277">
        <w:t>să</w:t>
      </w:r>
      <w:proofErr w:type="spellEnd"/>
      <w:proofErr w:type="gramEnd"/>
      <w:r w:rsidRPr="00866277">
        <w:t xml:space="preserve"> </w:t>
      </w:r>
      <w:proofErr w:type="spellStart"/>
      <w:r w:rsidRPr="00866277">
        <w:t>poată</w:t>
      </w:r>
      <w:proofErr w:type="spellEnd"/>
      <w:r w:rsidRPr="00866277">
        <w:t xml:space="preserve"> </w:t>
      </w:r>
      <w:proofErr w:type="spellStart"/>
      <w:r w:rsidRPr="00866277">
        <w:t>avea</w:t>
      </w:r>
      <w:proofErr w:type="spellEnd"/>
      <w:r w:rsidRPr="00866277">
        <w:t xml:space="preserve"> </w:t>
      </w:r>
      <w:proofErr w:type="spellStart"/>
      <w:r w:rsidRPr="00866277">
        <w:t>acces</w:t>
      </w:r>
      <w:proofErr w:type="spellEnd"/>
      <w:r w:rsidRPr="00866277">
        <w:t xml:space="preserve"> la </w:t>
      </w:r>
      <w:proofErr w:type="spellStart"/>
      <w:r w:rsidRPr="00866277">
        <w:t>servicii</w:t>
      </w:r>
      <w:proofErr w:type="spellEnd"/>
      <w:r w:rsidRPr="00866277">
        <w:t xml:space="preserve"> de </w:t>
      </w:r>
      <w:proofErr w:type="spellStart"/>
      <w:r w:rsidRPr="00866277">
        <w:t>comunicații</w:t>
      </w:r>
      <w:proofErr w:type="spellEnd"/>
      <w:r w:rsidRPr="00866277">
        <w:t xml:space="preserve"> </w:t>
      </w:r>
      <w:proofErr w:type="spellStart"/>
      <w:r w:rsidRPr="00866277">
        <w:t>electronice</w:t>
      </w:r>
      <w:proofErr w:type="spellEnd"/>
      <w:r w:rsidRPr="00866277">
        <w:t xml:space="preserve"> </w:t>
      </w:r>
      <w:proofErr w:type="spellStart"/>
      <w:r w:rsidRPr="00866277">
        <w:t>calitative</w:t>
      </w:r>
      <w:proofErr w:type="spellEnd"/>
      <w:r w:rsidRPr="00866277">
        <w:t xml:space="preserve"> </w:t>
      </w:r>
      <w:proofErr w:type="spellStart"/>
      <w:r w:rsidRPr="00866277">
        <w:t>și</w:t>
      </w:r>
      <w:proofErr w:type="spellEnd"/>
      <w:r w:rsidRPr="00866277">
        <w:t xml:space="preserve"> la </w:t>
      </w:r>
      <w:proofErr w:type="spellStart"/>
      <w:r w:rsidRPr="00866277">
        <w:t>prețuri</w:t>
      </w:r>
      <w:proofErr w:type="spellEnd"/>
      <w:r w:rsidRPr="00866277">
        <w:t xml:space="preserve"> </w:t>
      </w:r>
      <w:proofErr w:type="spellStart"/>
      <w:r w:rsidRPr="00866277">
        <w:t>accesibile</w:t>
      </w:r>
      <w:proofErr w:type="spellEnd"/>
      <w:r w:rsidRPr="00866277">
        <w:t xml:space="preserve">, </w:t>
      </w:r>
      <w:proofErr w:type="spellStart"/>
      <w:r w:rsidRPr="00866277">
        <w:t>adaptate</w:t>
      </w:r>
      <w:proofErr w:type="spellEnd"/>
      <w:r w:rsidRPr="00866277">
        <w:t xml:space="preserve"> </w:t>
      </w:r>
      <w:proofErr w:type="spellStart"/>
      <w:r w:rsidRPr="00866277">
        <w:t>nevoilor</w:t>
      </w:r>
      <w:proofErr w:type="spellEnd"/>
      <w:r w:rsidRPr="00866277">
        <w:t xml:space="preserve"> </w:t>
      </w:r>
      <w:proofErr w:type="spellStart"/>
      <w:r w:rsidRPr="00866277">
        <w:t>lor</w:t>
      </w:r>
      <w:proofErr w:type="spellEnd"/>
      <w:r w:rsidRPr="00866277">
        <w:t xml:space="preserve"> </w:t>
      </w:r>
      <w:proofErr w:type="spellStart"/>
      <w:r w:rsidRPr="00866277">
        <w:t>speciale</w:t>
      </w:r>
      <w:proofErr w:type="spellEnd"/>
      <w:r w:rsidRPr="00866277">
        <w:t xml:space="preserve">, </w:t>
      </w:r>
      <w:proofErr w:type="spellStart"/>
      <w:r w:rsidRPr="00866277">
        <w:t>în</w:t>
      </w:r>
      <w:proofErr w:type="spellEnd"/>
      <w:r w:rsidRPr="00866277">
        <w:t xml:space="preserve"> </w:t>
      </w:r>
      <w:proofErr w:type="spellStart"/>
      <w:r w:rsidRPr="00866277">
        <w:t>condiții</w:t>
      </w:r>
      <w:proofErr w:type="spellEnd"/>
      <w:r w:rsidRPr="00866277">
        <w:t xml:space="preserve"> </w:t>
      </w:r>
      <w:proofErr w:type="spellStart"/>
      <w:r w:rsidRPr="00866277">
        <w:t>echivalente</w:t>
      </w:r>
      <w:proofErr w:type="spellEnd"/>
      <w:r w:rsidRPr="00866277">
        <w:t xml:space="preserve"> </w:t>
      </w:r>
      <w:proofErr w:type="spellStart"/>
      <w:r w:rsidRPr="00866277">
        <w:t>celor</w:t>
      </w:r>
      <w:proofErr w:type="spellEnd"/>
      <w:r w:rsidRPr="00866277">
        <w:t xml:space="preserve"> de care </w:t>
      </w:r>
      <w:proofErr w:type="spellStart"/>
      <w:r w:rsidRPr="00866277">
        <w:t>beneficiază</w:t>
      </w:r>
      <w:proofErr w:type="spellEnd"/>
      <w:r w:rsidRPr="00866277">
        <w:t xml:space="preserve"> </w:t>
      </w:r>
      <w:proofErr w:type="spellStart"/>
      <w:r w:rsidRPr="00866277">
        <w:t>ceilalți</w:t>
      </w:r>
      <w:proofErr w:type="spellEnd"/>
      <w:r w:rsidRPr="00866277">
        <w:t xml:space="preserve"> </w:t>
      </w:r>
      <w:proofErr w:type="spellStart"/>
      <w:r w:rsidRPr="00866277">
        <w:t>utilizatori</w:t>
      </w:r>
      <w:proofErr w:type="spellEnd"/>
      <w:r w:rsidRPr="00866277">
        <w:t xml:space="preserve"> </w:t>
      </w:r>
      <w:proofErr w:type="spellStart"/>
      <w:r w:rsidRPr="00866277">
        <w:t>finali</w:t>
      </w:r>
      <w:proofErr w:type="spellEnd"/>
      <w:r w:rsidRPr="00866277">
        <w:t xml:space="preserve">. </w:t>
      </w:r>
      <w:proofErr w:type="spellStart"/>
      <w:r w:rsidRPr="00866277">
        <w:t>Astfel</w:t>
      </w:r>
      <w:proofErr w:type="spellEnd"/>
      <w:r w:rsidRPr="00866277">
        <w:t xml:space="preserve">, </w:t>
      </w:r>
      <w:proofErr w:type="spellStart"/>
      <w:r w:rsidRPr="00866277">
        <w:t>furnizorii</w:t>
      </w:r>
      <w:proofErr w:type="spellEnd"/>
      <w:r w:rsidRPr="00866277">
        <w:t xml:space="preserve"> pun la </w:t>
      </w:r>
      <w:proofErr w:type="spellStart"/>
      <w:r w:rsidRPr="00866277">
        <w:t>dispoziţia</w:t>
      </w:r>
      <w:proofErr w:type="spellEnd"/>
      <w:r w:rsidRPr="00866277">
        <w:t xml:space="preserve"> </w:t>
      </w:r>
      <w:proofErr w:type="spellStart"/>
      <w:r w:rsidRPr="00866277">
        <w:t>utilizatorilor</w:t>
      </w:r>
      <w:proofErr w:type="spellEnd"/>
      <w:r w:rsidRPr="00866277">
        <w:t xml:space="preserve"> cu </w:t>
      </w:r>
      <w:proofErr w:type="spellStart"/>
      <w:r w:rsidRPr="00866277">
        <w:t>dezabilități</w:t>
      </w:r>
      <w:proofErr w:type="spellEnd"/>
      <w:r w:rsidRPr="00866277">
        <w:t xml:space="preserve"> </w:t>
      </w:r>
      <w:proofErr w:type="spellStart"/>
      <w:r w:rsidRPr="00866277">
        <w:t>materiale</w:t>
      </w:r>
      <w:proofErr w:type="spellEnd"/>
      <w:r w:rsidRPr="00866277">
        <w:t xml:space="preserve"> informative </w:t>
      </w:r>
      <w:proofErr w:type="spellStart"/>
      <w:r w:rsidRPr="00866277">
        <w:t>în</w:t>
      </w:r>
      <w:proofErr w:type="spellEnd"/>
      <w:r w:rsidRPr="00866277">
        <w:t xml:space="preserve"> format </w:t>
      </w:r>
      <w:proofErr w:type="spellStart"/>
      <w:r w:rsidRPr="00866277">
        <w:t>tipărit</w:t>
      </w:r>
      <w:proofErr w:type="spellEnd"/>
      <w:r w:rsidRPr="00866277">
        <w:t xml:space="preserve">, </w:t>
      </w:r>
      <w:proofErr w:type="spellStart"/>
      <w:r w:rsidRPr="00866277">
        <w:t>în</w:t>
      </w:r>
      <w:proofErr w:type="spellEnd"/>
      <w:r w:rsidRPr="00866277">
        <w:t xml:space="preserve"> care sunt </w:t>
      </w:r>
      <w:proofErr w:type="spellStart"/>
      <w:r w:rsidRPr="00866277">
        <w:t>prezentate</w:t>
      </w:r>
      <w:proofErr w:type="spellEnd"/>
      <w:r w:rsidRPr="00866277">
        <w:t xml:space="preserve">, </w:t>
      </w:r>
      <w:proofErr w:type="spellStart"/>
      <w:r w:rsidRPr="00866277">
        <w:t>în</w:t>
      </w:r>
      <w:proofErr w:type="spellEnd"/>
      <w:r w:rsidRPr="00866277">
        <w:t xml:space="preserve"> mod </w:t>
      </w:r>
      <w:proofErr w:type="spellStart"/>
      <w:r w:rsidRPr="00866277">
        <w:t>clar</w:t>
      </w:r>
      <w:proofErr w:type="spellEnd"/>
      <w:r w:rsidRPr="00866277">
        <w:t xml:space="preserve">, </w:t>
      </w:r>
      <w:proofErr w:type="spellStart"/>
      <w:r w:rsidRPr="00866277">
        <w:t>funcţiile</w:t>
      </w:r>
      <w:proofErr w:type="spellEnd"/>
      <w:r w:rsidRPr="00866277">
        <w:t xml:space="preserve"> </w:t>
      </w:r>
      <w:proofErr w:type="spellStart"/>
      <w:r w:rsidRPr="00866277">
        <w:t>şi</w:t>
      </w:r>
      <w:proofErr w:type="spellEnd"/>
      <w:r w:rsidRPr="00866277">
        <w:t xml:space="preserve"> </w:t>
      </w:r>
      <w:proofErr w:type="spellStart"/>
      <w:r w:rsidRPr="00866277">
        <w:t>modul</w:t>
      </w:r>
      <w:proofErr w:type="spellEnd"/>
      <w:r w:rsidRPr="00866277">
        <w:t xml:space="preserve"> </w:t>
      </w:r>
      <w:proofErr w:type="spellStart"/>
      <w:r w:rsidRPr="00866277">
        <w:t>în</w:t>
      </w:r>
      <w:proofErr w:type="spellEnd"/>
      <w:r w:rsidRPr="00866277">
        <w:t xml:space="preserve"> care </w:t>
      </w:r>
      <w:proofErr w:type="spellStart"/>
      <w:r w:rsidRPr="00866277">
        <w:t>echipamentele</w:t>
      </w:r>
      <w:proofErr w:type="spellEnd"/>
      <w:r w:rsidRPr="00866277">
        <w:t xml:space="preserve"> </w:t>
      </w:r>
      <w:proofErr w:type="spellStart"/>
      <w:r w:rsidRPr="00866277">
        <w:t>terminale</w:t>
      </w:r>
      <w:proofErr w:type="spellEnd"/>
      <w:r w:rsidRPr="00866277">
        <w:t xml:space="preserve"> </w:t>
      </w:r>
      <w:proofErr w:type="spellStart"/>
      <w:r w:rsidRPr="00866277">
        <w:t>speciale</w:t>
      </w:r>
      <w:proofErr w:type="spellEnd"/>
      <w:r w:rsidRPr="00866277">
        <w:t xml:space="preserve"> pot </w:t>
      </w:r>
      <w:proofErr w:type="spellStart"/>
      <w:r w:rsidRPr="00866277">
        <w:t>răspunde</w:t>
      </w:r>
      <w:proofErr w:type="spellEnd"/>
      <w:r w:rsidRPr="00866277">
        <w:t xml:space="preserve"> </w:t>
      </w:r>
      <w:proofErr w:type="spellStart"/>
      <w:r w:rsidRPr="00866277">
        <w:t>nevoilor</w:t>
      </w:r>
      <w:proofErr w:type="spellEnd"/>
      <w:r w:rsidRPr="00866277">
        <w:t xml:space="preserve"> </w:t>
      </w:r>
      <w:proofErr w:type="spellStart"/>
      <w:r w:rsidRPr="00866277">
        <w:t>acesteia</w:t>
      </w:r>
      <w:proofErr w:type="spellEnd"/>
      <w:r w:rsidRPr="00866277">
        <w:t xml:space="preserve">. </w:t>
      </w:r>
      <w:proofErr w:type="spellStart"/>
      <w:r w:rsidRPr="00866277">
        <w:t>Informația</w:t>
      </w:r>
      <w:proofErr w:type="spellEnd"/>
      <w:r w:rsidRPr="00866277">
        <w:t xml:space="preserve"> </w:t>
      </w:r>
      <w:proofErr w:type="spellStart"/>
      <w:r w:rsidRPr="00866277">
        <w:t>respectivă</w:t>
      </w:r>
      <w:proofErr w:type="spellEnd"/>
      <w:r w:rsidRPr="00866277">
        <w:t xml:space="preserve"> se </w:t>
      </w:r>
      <w:proofErr w:type="spellStart"/>
      <w:r w:rsidRPr="00866277">
        <w:t>regăsește</w:t>
      </w:r>
      <w:proofErr w:type="spellEnd"/>
      <w:r w:rsidRPr="00866277">
        <w:t xml:space="preserve"> </w:t>
      </w:r>
      <w:proofErr w:type="spellStart"/>
      <w:r w:rsidRPr="00866277">
        <w:t>și</w:t>
      </w:r>
      <w:proofErr w:type="spellEnd"/>
      <w:r w:rsidRPr="00866277">
        <w:t xml:space="preserve"> </w:t>
      </w:r>
      <w:proofErr w:type="spellStart"/>
      <w:r w:rsidRPr="00866277">
        <w:t>în</w:t>
      </w:r>
      <w:proofErr w:type="spellEnd"/>
      <w:r w:rsidRPr="00866277">
        <w:t xml:space="preserve"> </w:t>
      </w:r>
      <w:proofErr w:type="spellStart"/>
      <w:r w:rsidRPr="00866277">
        <w:t>secţiunea</w:t>
      </w:r>
      <w:proofErr w:type="spellEnd"/>
      <w:r w:rsidRPr="00866277">
        <w:t xml:space="preserve"> </w:t>
      </w:r>
      <w:proofErr w:type="spellStart"/>
      <w:r w:rsidRPr="00866277">
        <w:t>dedicată</w:t>
      </w:r>
      <w:proofErr w:type="spellEnd"/>
      <w:r w:rsidRPr="00866277">
        <w:t xml:space="preserve"> </w:t>
      </w:r>
      <w:proofErr w:type="spellStart"/>
      <w:r w:rsidRPr="00866277">
        <w:t>acestora</w:t>
      </w:r>
      <w:proofErr w:type="spellEnd"/>
      <w:r w:rsidRPr="00866277">
        <w:t xml:space="preserve">, de </w:t>
      </w:r>
      <w:proofErr w:type="spellStart"/>
      <w:r w:rsidRPr="00866277">
        <w:t>pe</w:t>
      </w:r>
      <w:proofErr w:type="spellEnd"/>
      <w:r w:rsidRPr="00866277">
        <w:t xml:space="preserve"> </w:t>
      </w:r>
      <w:proofErr w:type="spellStart"/>
      <w:r w:rsidRPr="00866277">
        <w:t>ecranul</w:t>
      </w:r>
      <w:proofErr w:type="spellEnd"/>
      <w:r w:rsidRPr="00866277">
        <w:t xml:space="preserve"> principal al </w:t>
      </w:r>
      <w:proofErr w:type="spellStart"/>
      <w:r w:rsidRPr="00866277">
        <w:t>propriei</w:t>
      </w:r>
      <w:proofErr w:type="spellEnd"/>
      <w:r w:rsidRPr="00866277">
        <w:t xml:space="preserve"> </w:t>
      </w:r>
      <w:proofErr w:type="spellStart"/>
      <w:r w:rsidRPr="00866277">
        <w:t>pagini</w:t>
      </w:r>
      <w:proofErr w:type="spellEnd"/>
      <w:r w:rsidRPr="00866277">
        <w:t xml:space="preserve"> de Internet.</w:t>
      </w:r>
    </w:p>
    <w:p w:rsidR="001B1EA6" w:rsidRPr="00866277" w:rsidRDefault="00C5279B" w:rsidP="00583426">
      <w:pPr>
        <w:ind w:firstLine="720"/>
        <w:jc w:val="both"/>
      </w:pPr>
      <w:proofErr w:type="gramStart"/>
      <w:r>
        <w:t xml:space="preserve">De </w:t>
      </w:r>
      <w:proofErr w:type="spellStart"/>
      <w:r>
        <w:t>asemenea</w:t>
      </w:r>
      <w:proofErr w:type="spellEnd"/>
      <w:r>
        <w:t xml:space="preserve">, </w:t>
      </w:r>
      <w:proofErr w:type="spellStart"/>
      <w:r>
        <w:t>furnizorii</w:t>
      </w:r>
      <w:proofErr w:type="spellEnd"/>
      <w:r>
        <w:t xml:space="preserve"> </w:t>
      </w:r>
      <w:proofErr w:type="spellStart"/>
      <w:r>
        <w:t>asigură</w:t>
      </w:r>
      <w:proofErr w:type="spellEnd"/>
      <w:r w:rsidR="001B1EA6" w:rsidRPr="00866277">
        <w:t xml:space="preserve"> </w:t>
      </w:r>
      <w:proofErr w:type="spellStart"/>
      <w:r w:rsidR="001B1EA6" w:rsidRPr="00866277">
        <w:t>persoanelor</w:t>
      </w:r>
      <w:proofErr w:type="spellEnd"/>
      <w:r w:rsidR="001B1EA6" w:rsidRPr="00866277">
        <w:t xml:space="preserve"> cu </w:t>
      </w:r>
      <w:proofErr w:type="spellStart"/>
      <w:r w:rsidR="001B1EA6" w:rsidRPr="00866277">
        <w:t>dezabilități</w:t>
      </w:r>
      <w:proofErr w:type="spellEnd"/>
      <w:r w:rsidR="001B1EA6" w:rsidRPr="00866277">
        <w:t xml:space="preserve">, cu </w:t>
      </w:r>
      <w:proofErr w:type="spellStart"/>
      <w:r w:rsidR="001B1EA6" w:rsidRPr="00866277">
        <w:t>titlu</w:t>
      </w:r>
      <w:proofErr w:type="spellEnd"/>
      <w:r w:rsidR="001B1EA6" w:rsidRPr="00866277">
        <w:t xml:space="preserve"> </w:t>
      </w:r>
      <w:proofErr w:type="spellStart"/>
      <w:r w:rsidR="001B1EA6" w:rsidRPr="00866277">
        <w:t>gratuit</w:t>
      </w:r>
      <w:proofErr w:type="spellEnd"/>
      <w:r w:rsidR="001B1EA6" w:rsidRPr="00866277">
        <w:t xml:space="preserve">, </w:t>
      </w:r>
      <w:proofErr w:type="spellStart"/>
      <w:r w:rsidR="001B1EA6" w:rsidRPr="00866277">
        <w:t>posibilitatea</w:t>
      </w:r>
      <w:proofErr w:type="spellEnd"/>
      <w:r w:rsidR="001B1EA6" w:rsidRPr="00866277">
        <w:t xml:space="preserve"> </w:t>
      </w:r>
      <w:proofErr w:type="spellStart"/>
      <w:r w:rsidR="001B1EA6" w:rsidRPr="00866277">
        <w:t>testării</w:t>
      </w:r>
      <w:proofErr w:type="spellEnd"/>
      <w:r w:rsidR="001B1EA6" w:rsidRPr="00866277">
        <w:t xml:space="preserve"> la </w:t>
      </w:r>
      <w:proofErr w:type="spellStart"/>
      <w:r w:rsidR="001B1EA6" w:rsidRPr="00866277">
        <w:t>punctele</w:t>
      </w:r>
      <w:proofErr w:type="spellEnd"/>
      <w:r w:rsidR="001B1EA6" w:rsidRPr="00866277">
        <w:t xml:space="preserve"> de </w:t>
      </w:r>
      <w:proofErr w:type="spellStart"/>
      <w:r w:rsidR="001B1EA6" w:rsidRPr="00866277">
        <w:t>vânzare</w:t>
      </w:r>
      <w:proofErr w:type="spellEnd"/>
      <w:r w:rsidR="001B1EA6" w:rsidRPr="00866277">
        <w:t xml:space="preserve"> </w:t>
      </w:r>
      <w:proofErr w:type="spellStart"/>
      <w:r w:rsidR="001B1EA6" w:rsidRPr="00866277">
        <w:t>proprii</w:t>
      </w:r>
      <w:proofErr w:type="spellEnd"/>
      <w:r w:rsidR="001B1EA6" w:rsidRPr="00866277">
        <w:t xml:space="preserve"> a </w:t>
      </w:r>
      <w:proofErr w:type="spellStart"/>
      <w:r w:rsidR="001B1EA6" w:rsidRPr="00866277">
        <w:t>echipamentelor</w:t>
      </w:r>
      <w:proofErr w:type="spellEnd"/>
      <w:r w:rsidR="001B1EA6" w:rsidRPr="00866277">
        <w:t>/</w:t>
      </w:r>
      <w:proofErr w:type="spellStart"/>
      <w:r w:rsidR="001B1EA6" w:rsidRPr="00866277">
        <w:t>serviciilor</w:t>
      </w:r>
      <w:proofErr w:type="spellEnd"/>
      <w:r w:rsidR="001B1EA6" w:rsidRPr="00866277">
        <w:t xml:space="preserve"> </w:t>
      </w:r>
      <w:proofErr w:type="spellStart"/>
      <w:r w:rsidR="001B1EA6" w:rsidRPr="00866277">
        <w:t>terminale</w:t>
      </w:r>
      <w:proofErr w:type="spellEnd"/>
      <w:r w:rsidR="001B1EA6" w:rsidRPr="00866277">
        <w:t xml:space="preserve"> </w:t>
      </w:r>
      <w:proofErr w:type="spellStart"/>
      <w:r w:rsidR="001B1EA6" w:rsidRPr="00866277">
        <w:t>speciale</w:t>
      </w:r>
      <w:proofErr w:type="spellEnd"/>
      <w:r w:rsidR="001B1EA6" w:rsidRPr="00866277">
        <w:t xml:space="preserve"> de </w:t>
      </w:r>
      <w:proofErr w:type="spellStart"/>
      <w:r w:rsidR="001B1EA6" w:rsidRPr="00866277">
        <w:t>comunicaţii</w:t>
      </w:r>
      <w:proofErr w:type="spellEnd"/>
      <w:r w:rsidR="001B1EA6" w:rsidRPr="00866277">
        <w:t xml:space="preserve"> </w:t>
      </w:r>
      <w:proofErr w:type="spellStart"/>
      <w:r w:rsidR="001B1EA6" w:rsidRPr="00866277">
        <w:t>electronice</w:t>
      </w:r>
      <w:proofErr w:type="spellEnd"/>
      <w:r w:rsidR="001B1EA6" w:rsidRPr="00866277">
        <w:t xml:space="preserve"> </w:t>
      </w:r>
      <w:proofErr w:type="spellStart"/>
      <w:r w:rsidR="001B1EA6" w:rsidRPr="00866277">
        <w:t>pe</w:t>
      </w:r>
      <w:proofErr w:type="spellEnd"/>
      <w:r w:rsidR="001B1EA6" w:rsidRPr="00866277">
        <w:t xml:space="preserve"> care </w:t>
      </w:r>
      <w:proofErr w:type="spellStart"/>
      <w:r w:rsidR="001B1EA6" w:rsidRPr="00866277">
        <w:t>aceştia</w:t>
      </w:r>
      <w:proofErr w:type="spellEnd"/>
      <w:r w:rsidR="001B1EA6" w:rsidRPr="00866277">
        <w:t xml:space="preserve"> </w:t>
      </w:r>
      <w:proofErr w:type="spellStart"/>
      <w:r w:rsidR="001B1EA6" w:rsidRPr="00866277">
        <w:t>intenţionează</w:t>
      </w:r>
      <w:proofErr w:type="spellEnd"/>
      <w:r w:rsidR="001B1EA6" w:rsidRPr="00866277">
        <w:t xml:space="preserve"> </w:t>
      </w:r>
      <w:proofErr w:type="spellStart"/>
      <w:r w:rsidR="001B1EA6" w:rsidRPr="00866277">
        <w:t>să</w:t>
      </w:r>
      <w:proofErr w:type="spellEnd"/>
      <w:r w:rsidR="001B1EA6" w:rsidRPr="00866277">
        <w:t xml:space="preserve"> le </w:t>
      </w:r>
      <w:proofErr w:type="spellStart"/>
      <w:r w:rsidR="001B1EA6" w:rsidRPr="00866277">
        <w:t>achiziţioneze</w:t>
      </w:r>
      <w:proofErr w:type="spellEnd"/>
      <w:r w:rsidR="001B1EA6" w:rsidRPr="00866277">
        <w:t xml:space="preserve">, </w:t>
      </w:r>
      <w:proofErr w:type="spellStart"/>
      <w:r w:rsidR="001B1EA6" w:rsidRPr="00866277">
        <w:t>în</w:t>
      </w:r>
      <w:proofErr w:type="spellEnd"/>
      <w:r w:rsidR="001B1EA6" w:rsidRPr="00866277">
        <w:t xml:space="preserve"> </w:t>
      </w:r>
      <w:proofErr w:type="spellStart"/>
      <w:r w:rsidR="001B1EA6" w:rsidRPr="00866277">
        <w:t>scopul</w:t>
      </w:r>
      <w:proofErr w:type="spellEnd"/>
      <w:r w:rsidR="001B1EA6" w:rsidRPr="00866277">
        <w:t xml:space="preserve"> </w:t>
      </w:r>
      <w:proofErr w:type="spellStart"/>
      <w:r w:rsidR="001B1EA6" w:rsidRPr="00866277">
        <w:t>verificării</w:t>
      </w:r>
      <w:proofErr w:type="spellEnd"/>
      <w:r w:rsidR="001B1EA6" w:rsidRPr="00866277">
        <w:t xml:space="preserve"> </w:t>
      </w:r>
      <w:proofErr w:type="spellStart"/>
      <w:r w:rsidR="001B1EA6" w:rsidRPr="00866277">
        <w:t>compatibilităţii</w:t>
      </w:r>
      <w:proofErr w:type="spellEnd"/>
      <w:r w:rsidR="001B1EA6" w:rsidRPr="00866277">
        <w:t xml:space="preserve"> </w:t>
      </w:r>
      <w:proofErr w:type="spellStart"/>
      <w:r w:rsidR="001B1EA6" w:rsidRPr="00866277">
        <w:t>acestora</w:t>
      </w:r>
      <w:proofErr w:type="spellEnd"/>
      <w:r w:rsidR="001B1EA6" w:rsidRPr="00866277">
        <w:t xml:space="preserve"> cu </w:t>
      </w:r>
      <w:proofErr w:type="spellStart"/>
      <w:r w:rsidR="001B1EA6" w:rsidRPr="00866277">
        <w:t>necesităţile</w:t>
      </w:r>
      <w:proofErr w:type="spellEnd"/>
      <w:r w:rsidR="001B1EA6" w:rsidRPr="00866277">
        <w:t xml:space="preserve"> </w:t>
      </w:r>
      <w:proofErr w:type="spellStart"/>
      <w:r w:rsidR="001B1EA6" w:rsidRPr="00866277">
        <w:t>specifice</w:t>
      </w:r>
      <w:proofErr w:type="spellEnd"/>
      <w:r w:rsidR="001B1EA6" w:rsidRPr="00866277">
        <w:t xml:space="preserve"> ale </w:t>
      </w:r>
      <w:proofErr w:type="spellStart"/>
      <w:r w:rsidR="001B1EA6" w:rsidRPr="00866277">
        <w:t>solicitantului</w:t>
      </w:r>
      <w:proofErr w:type="spellEnd"/>
      <w:r w:rsidR="001B1EA6" w:rsidRPr="00866277">
        <w:t xml:space="preserve">, </w:t>
      </w:r>
      <w:proofErr w:type="spellStart"/>
      <w:r w:rsidR="001B1EA6" w:rsidRPr="00866277">
        <w:t>explicând</w:t>
      </w:r>
      <w:proofErr w:type="spellEnd"/>
      <w:r w:rsidR="001B1EA6" w:rsidRPr="00866277">
        <w:t xml:space="preserve"> </w:t>
      </w:r>
      <w:proofErr w:type="spellStart"/>
      <w:r w:rsidR="001B1EA6" w:rsidRPr="00866277">
        <w:t>funcţiile</w:t>
      </w:r>
      <w:proofErr w:type="spellEnd"/>
      <w:r w:rsidR="001B1EA6" w:rsidRPr="00866277">
        <w:t xml:space="preserve"> </w:t>
      </w:r>
      <w:proofErr w:type="spellStart"/>
      <w:r w:rsidR="001B1EA6" w:rsidRPr="00866277">
        <w:t>şi</w:t>
      </w:r>
      <w:proofErr w:type="spellEnd"/>
      <w:r w:rsidR="001B1EA6" w:rsidRPr="00866277">
        <w:t xml:space="preserve"> </w:t>
      </w:r>
      <w:proofErr w:type="spellStart"/>
      <w:r w:rsidR="001B1EA6" w:rsidRPr="00866277">
        <w:t>modul</w:t>
      </w:r>
      <w:proofErr w:type="spellEnd"/>
      <w:r w:rsidR="001B1EA6" w:rsidRPr="00866277">
        <w:t xml:space="preserve"> </w:t>
      </w:r>
      <w:proofErr w:type="spellStart"/>
      <w:r w:rsidR="001B1EA6" w:rsidRPr="00866277">
        <w:t>în</w:t>
      </w:r>
      <w:proofErr w:type="spellEnd"/>
      <w:r w:rsidR="001B1EA6" w:rsidRPr="00866277">
        <w:t xml:space="preserve"> care </w:t>
      </w:r>
      <w:proofErr w:type="spellStart"/>
      <w:r w:rsidR="001B1EA6" w:rsidRPr="00866277">
        <w:t>acestea</w:t>
      </w:r>
      <w:proofErr w:type="spellEnd"/>
      <w:r w:rsidR="001B1EA6" w:rsidRPr="00866277">
        <w:t xml:space="preserve"> pot </w:t>
      </w:r>
      <w:proofErr w:type="spellStart"/>
      <w:r w:rsidR="001B1EA6" w:rsidRPr="00866277">
        <w:t>răspunde</w:t>
      </w:r>
      <w:proofErr w:type="spellEnd"/>
      <w:r w:rsidR="001B1EA6" w:rsidRPr="00866277">
        <w:t xml:space="preserve"> </w:t>
      </w:r>
      <w:proofErr w:type="spellStart"/>
      <w:r w:rsidR="001B1EA6" w:rsidRPr="00866277">
        <w:t>nevoilor</w:t>
      </w:r>
      <w:proofErr w:type="spellEnd"/>
      <w:r w:rsidR="001B1EA6" w:rsidRPr="00866277">
        <w:t xml:space="preserve"> sale </w:t>
      </w:r>
      <w:proofErr w:type="spellStart"/>
      <w:r w:rsidR="001B1EA6" w:rsidRPr="00866277">
        <w:t>ori</w:t>
      </w:r>
      <w:proofErr w:type="spellEnd"/>
      <w:r w:rsidR="001B1EA6" w:rsidRPr="00866277">
        <w:t xml:space="preserve"> </w:t>
      </w:r>
      <w:proofErr w:type="spellStart"/>
      <w:r w:rsidR="001B1EA6" w:rsidRPr="00866277">
        <w:t>posibilitatea</w:t>
      </w:r>
      <w:proofErr w:type="spellEnd"/>
      <w:r w:rsidR="001B1EA6" w:rsidRPr="00866277">
        <w:t xml:space="preserve"> </w:t>
      </w:r>
      <w:proofErr w:type="spellStart"/>
      <w:r w:rsidR="001B1EA6" w:rsidRPr="00866277">
        <w:t>returnării</w:t>
      </w:r>
      <w:proofErr w:type="spellEnd"/>
      <w:r w:rsidR="001B1EA6" w:rsidRPr="00866277">
        <w:t xml:space="preserve"> </w:t>
      </w:r>
      <w:proofErr w:type="spellStart"/>
      <w:r w:rsidR="001B1EA6" w:rsidRPr="00866277">
        <w:t>echipamentelor</w:t>
      </w:r>
      <w:proofErr w:type="spellEnd"/>
      <w:r w:rsidR="001B1EA6" w:rsidRPr="00866277">
        <w:t xml:space="preserve"> </w:t>
      </w:r>
      <w:proofErr w:type="spellStart"/>
      <w:r w:rsidR="001B1EA6" w:rsidRPr="00866277">
        <w:t>achiziţionate</w:t>
      </w:r>
      <w:proofErr w:type="spellEnd"/>
      <w:r w:rsidR="001B1EA6" w:rsidRPr="00866277">
        <w:t xml:space="preserve">, </w:t>
      </w:r>
      <w:proofErr w:type="spellStart"/>
      <w:r w:rsidR="001B1EA6" w:rsidRPr="00866277">
        <w:t>într</w:t>
      </w:r>
      <w:proofErr w:type="spellEnd"/>
      <w:r w:rsidR="001B1EA6" w:rsidRPr="00866277">
        <w:t xml:space="preserve">-un </w:t>
      </w:r>
      <w:proofErr w:type="spellStart"/>
      <w:r w:rsidR="001B1EA6" w:rsidRPr="00866277">
        <w:t>termen</w:t>
      </w:r>
      <w:proofErr w:type="spellEnd"/>
      <w:r w:rsidR="001B1EA6" w:rsidRPr="00866277">
        <w:t xml:space="preserve"> </w:t>
      </w:r>
      <w:proofErr w:type="spellStart"/>
      <w:r w:rsidR="001B1EA6" w:rsidRPr="00866277">
        <w:t>stabilit</w:t>
      </w:r>
      <w:proofErr w:type="spellEnd"/>
      <w:r w:rsidR="001B1EA6" w:rsidRPr="00866277">
        <w:t xml:space="preserve"> anterior de </w:t>
      </w:r>
      <w:proofErr w:type="spellStart"/>
      <w:r w:rsidR="001B1EA6" w:rsidRPr="00866277">
        <w:t>către</w:t>
      </w:r>
      <w:proofErr w:type="spellEnd"/>
      <w:r w:rsidR="001B1EA6" w:rsidRPr="00866277">
        <w:t xml:space="preserve"> </w:t>
      </w:r>
      <w:proofErr w:type="spellStart"/>
      <w:r w:rsidR="001B1EA6" w:rsidRPr="00866277">
        <w:t>furnizor</w:t>
      </w:r>
      <w:proofErr w:type="spellEnd"/>
      <w:r w:rsidR="001B1EA6" w:rsidRPr="00866277">
        <w:t xml:space="preserve"> </w:t>
      </w:r>
      <w:proofErr w:type="spellStart"/>
      <w:r w:rsidR="001B1EA6" w:rsidRPr="00866277">
        <w:t>şi</w:t>
      </w:r>
      <w:proofErr w:type="spellEnd"/>
      <w:r w:rsidR="001B1EA6" w:rsidRPr="00866277">
        <w:t xml:space="preserve"> </w:t>
      </w:r>
      <w:proofErr w:type="spellStart"/>
      <w:r w:rsidR="001B1EA6" w:rsidRPr="00866277">
        <w:t>comunicat</w:t>
      </w:r>
      <w:proofErr w:type="spellEnd"/>
      <w:r w:rsidR="001B1EA6" w:rsidRPr="00866277">
        <w:t xml:space="preserve"> </w:t>
      </w:r>
      <w:proofErr w:type="spellStart"/>
      <w:r w:rsidR="001B1EA6" w:rsidRPr="00866277">
        <w:t>solicitanţilor</w:t>
      </w:r>
      <w:proofErr w:type="spellEnd"/>
      <w:r w:rsidR="001B1EA6" w:rsidRPr="00866277">
        <w:t>.</w:t>
      </w:r>
      <w:proofErr w:type="gramEnd"/>
      <w:r w:rsidR="001B1EA6" w:rsidRPr="00866277">
        <w:t xml:space="preserve"> </w:t>
      </w:r>
    </w:p>
    <w:p w:rsidR="0023485A" w:rsidRPr="00866277" w:rsidRDefault="00C46A42" w:rsidP="00583426">
      <w:pPr>
        <w:ind w:firstLine="720"/>
        <w:jc w:val="both"/>
        <w:rPr>
          <w:rStyle w:val="Strong"/>
          <w:lang w:val="ro-RO"/>
        </w:rPr>
      </w:pPr>
      <w:proofErr w:type="spellStart"/>
      <w:r w:rsidRPr="00866277">
        <w:t>În</w:t>
      </w:r>
      <w:proofErr w:type="spellEnd"/>
      <w:r w:rsidRPr="00866277">
        <w:t xml:space="preserve"> </w:t>
      </w:r>
      <w:proofErr w:type="spellStart"/>
      <w:r w:rsidRPr="00866277">
        <w:t>cadrul</w:t>
      </w:r>
      <w:proofErr w:type="spellEnd"/>
      <w:r w:rsidRPr="00866277">
        <w:t xml:space="preserve"> </w:t>
      </w:r>
      <w:proofErr w:type="spellStart"/>
      <w:r w:rsidR="00583426" w:rsidRPr="00866277">
        <w:t>prezentei</w:t>
      </w:r>
      <w:proofErr w:type="spellEnd"/>
      <w:r w:rsidR="00583426" w:rsidRPr="00866277">
        <w:t xml:space="preserve"> </w:t>
      </w:r>
      <w:proofErr w:type="spellStart"/>
      <w:r w:rsidRPr="00866277">
        <w:t>acțiuni</w:t>
      </w:r>
      <w:proofErr w:type="spellEnd"/>
      <w:r w:rsidR="007C06EF">
        <w:t>,</w:t>
      </w:r>
      <w:r w:rsidR="00583426" w:rsidRPr="00866277">
        <w:t xml:space="preserve"> </w:t>
      </w:r>
      <w:r w:rsidRPr="00866277">
        <w:t>MSPSM</w:t>
      </w:r>
      <w:r w:rsidR="00583426" w:rsidRPr="00866277">
        <w:t xml:space="preserve"> </w:t>
      </w:r>
      <w:proofErr w:type="spellStart"/>
      <w:r w:rsidR="00583426" w:rsidRPr="00866277">
        <w:t>informează</w:t>
      </w:r>
      <w:proofErr w:type="spellEnd"/>
      <w:r w:rsidR="00583426" w:rsidRPr="00866277">
        <w:t xml:space="preserve"> </w:t>
      </w:r>
      <w:proofErr w:type="spellStart"/>
      <w:r w:rsidRPr="00866277">
        <w:t>că</w:t>
      </w:r>
      <w:proofErr w:type="spellEnd"/>
      <w:r w:rsidRPr="00866277">
        <w:t>,</w:t>
      </w:r>
      <w:r w:rsidR="008809F6" w:rsidRPr="00866277">
        <w:t xml:space="preserve"> </w:t>
      </w:r>
      <w:r w:rsidR="005254F8" w:rsidRPr="00866277">
        <w:t>a</w:t>
      </w:r>
      <w:proofErr w:type="spellStart"/>
      <w:r w:rsidR="0023485A" w:rsidRPr="00866277">
        <w:rPr>
          <w:lang w:val="ro-RO"/>
        </w:rPr>
        <w:t>cțiunile</w:t>
      </w:r>
      <w:proofErr w:type="spellEnd"/>
      <w:r w:rsidR="0023485A" w:rsidRPr="00866277">
        <w:rPr>
          <w:lang w:val="ro-RO"/>
        </w:rPr>
        <w:t xml:space="preserve"> de comunicare, informare și educare a populației realizate, au fost direcționate spre sporirea gradului de conștientizare, informare și educare pentru</w:t>
      </w:r>
      <w:r w:rsidR="0023485A" w:rsidRPr="00866277">
        <w:rPr>
          <w:rStyle w:val="Strong"/>
          <w:lang w:val="ro-RO"/>
        </w:rPr>
        <w:t xml:space="preserve"> </w:t>
      </w:r>
      <w:r w:rsidR="0023485A" w:rsidRPr="007C06EF">
        <w:rPr>
          <w:rStyle w:val="Strong"/>
          <w:b w:val="0"/>
          <w:u w:val="single"/>
          <w:lang w:val="ro-RO"/>
        </w:rPr>
        <w:t>prevenirea și profilaxia bolilor, modifica</w:t>
      </w:r>
      <w:r w:rsidR="0023485A" w:rsidRPr="007C06EF">
        <w:rPr>
          <w:u w:val="single"/>
          <w:lang w:val="ro-RO"/>
        </w:rPr>
        <w:t>rea</w:t>
      </w:r>
      <w:r w:rsidR="0023485A" w:rsidRPr="00866277">
        <w:rPr>
          <w:lang w:val="ro-RO"/>
        </w:rPr>
        <w:t xml:space="preserve"> comportamentelor </w:t>
      </w:r>
      <w:proofErr w:type="spellStart"/>
      <w:r w:rsidR="0023485A" w:rsidRPr="00866277">
        <w:rPr>
          <w:lang w:val="ro-RO"/>
        </w:rPr>
        <w:t>şi</w:t>
      </w:r>
      <w:proofErr w:type="spellEnd"/>
      <w:r w:rsidR="0023485A" w:rsidRPr="00866277">
        <w:rPr>
          <w:lang w:val="ro-RO"/>
        </w:rPr>
        <w:t xml:space="preserve"> obiceiurilor pentru a le face favorabile </w:t>
      </w:r>
      <w:proofErr w:type="spellStart"/>
      <w:r w:rsidR="0023485A" w:rsidRPr="00866277">
        <w:rPr>
          <w:lang w:val="ro-RO"/>
        </w:rPr>
        <w:t>sănătăţii</w:t>
      </w:r>
      <w:proofErr w:type="spellEnd"/>
      <w:r w:rsidR="0023485A" w:rsidRPr="00866277">
        <w:rPr>
          <w:lang w:val="ro-RO"/>
        </w:rPr>
        <w:t>.</w:t>
      </w:r>
    </w:p>
    <w:p w:rsidR="0023485A" w:rsidRPr="00866277" w:rsidRDefault="0023485A" w:rsidP="00583426">
      <w:pPr>
        <w:ind w:firstLine="720"/>
        <w:jc w:val="both"/>
        <w:rPr>
          <w:rFonts w:eastAsia="Calibri"/>
          <w:noProof/>
          <w:lang w:val="ro-RO"/>
        </w:rPr>
      </w:pPr>
      <w:r w:rsidRPr="00866277">
        <w:rPr>
          <w:rStyle w:val="Strong"/>
          <w:b w:val="0"/>
          <w:lang w:val="ro-RO"/>
        </w:rPr>
        <w:t xml:space="preserve">În acest context, </w:t>
      </w:r>
      <w:r w:rsidRPr="00866277">
        <w:rPr>
          <w:b/>
          <w:lang w:val="ro-RO"/>
        </w:rPr>
        <w:t>s</w:t>
      </w:r>
      <w:r w:rsidRPr="00866277">
        <w:rPr>
          <w:lang w:val="ro-RO"/>
        </w:rPr>
        <w:t>-au</w:t>
      </w:r>
      <w:r w:rsidRPr="00866277">
        <w:rPr>
          <w:bCs/>
          <w:lang w:val="ro-RO"/>
        </w:rPr>
        <w:t xml:space="preserve"> organizat și </w:t>
      </w:r>
      <w:r w:rsidRPr="00866277">
        <w:rPr>
          <w:lang w:val="ro-RO"/>
        </w:rPr>
        <w:t>desfășurat acțiuni de comunicare și informare în cadrul a 33 de evenimente de sănătate (Zilele Mondiale, naționale, săptămâni, lunare de profilaxie și prevenire a bolilor), inclusiv:</w:t>
      </w:r>
      <w:r w:rsidRPr="00866277">
        <w:rPr>
          <w:b/>
          <w:lang w:val="ro-RO"/>
        </w:rPr>
        <w:t xml:space="preserve"> </w:t>
      </w:r>
      <w:r w:rsidRPr="00866277">
        <w:rPr>
          <w:lang w:val="ro-RO"/>
        </w:rPr>
        <w:t xml:space="preserve"> </w:t>
      </w:r>
      <w:r w:rsidR="00E65C65" w:rsidRPr="00866277">
        <w:rPr>
          <w:lang w:val="ro-RO"/>
        </w:rPr>
        <w:t xml:space="preserve">Ziua Mondială </w:t>
      </w:r>
      <w:r w:rsidRPr="00866277">
        <w:rPr>
          <w:lang w:val="ro-RO"/>
        </w:rPr>
        <w:t xml:space="preserve">a Apei, </w:t>
      </w:r>
      <w:r w:rsidR="00E65C65" w:rsidRPr="00866277">
        <w:rPr>
          <w:lang w:val="ro-RO"/>
        </w:rPr>
        <w:t>Ziua Mondială</w:t>
      </w:r>
      <w:r w:rsidRPr="00866277">
        <w:rPr>
          <w:lang w:val="ro-RO"/>
        </w:rPr>
        <w:t xml:space="preserve"> a Sănătății, Zilele naționale fără alcool și de renunțare la fumat,  Ziua Mondială a siguranței alimentare, Săptămâna prevenirii intoxicațiilor acute neprofesionale exogene de etiologie chimică, </w:t>
      </w:r>
      <w:r w:rsidRPr="00866277">
        <w:rPr>
          <w:rFonts w:eastAsia="Calibri"/>
          <w:noProof/>
          <w:lang w:val="ro-RO"/>
        </w:rPr>
        <w:t xml:space="preserve">Săptămâna Mondială de conştientizare a rezistenţei la </w:t>
      </w:r>
      <w:r w:rsidRPr="00866277">
        <w:rPr>
          <w:rFonts w:eastAsia="Calibri"/>
          <w:noProof/>
          <w:lang w:val="ro-RO"/>
        </w:rPr>
        <w:lastRenderedPageBreak/>
        <w:t xml:space="preserve">antibiotice, </w:t>
      </w:r>
      <w:r w:rsidR="00E65C65" w:rsidRPr="00866277">
        <w:rPr>
          <w:lang w:val="ro-RO"/>
        </w:rPr>
        <w:t>Ziua Mondială</w:t>
      </w:r>
      <w:r w:rsidRPr="00866277">
        <w:rPr>
          <w:rFonts w:eastAsia="Calibri"/>
          <w:noProof/>
          <w:lang w:val="ro-RO"/>
        </w:rPr>
        <w:t xml:space="preserve"> a inimii, a diabetului, Lunarul de prevenire a riscurilor consumului de alcool, etc.  Acțiunile desfășurate în cadrul acestor evenimente au inclus</w:t>
      </w:r>
      <w:r w:rsidRPr="00866277">
        <w:rPr>
          <w:lang w:val="ro-RO"/>
        </w:rPr>
        <w:t xml:space="preserve">: organizarea atelierelor de lucru, a ședințelor </w:t>
      </w:r>
      <w:proofErr w:type="spellStart"/>
      <w:r w:rsidRPr="00866277">
        <w:rPr>
          <w:lang w:val="ro-RO"/>
        </w:rPr>
        <w:t>informative,lecțiilor</w:t>
      </w:r>
      <w:proofErr w:type="spellEnd"/>
      <w:r w:rsidRPr="00866277">
        <w:rPr>
          <w:lang w:val="ro-RO"/>
        </w:rPr>
        <w:t xml:space="preserve"> publice, flash-</w:t>
      </w:r>
      <w:proofErr w:type="spellStart"/>
      <w:r w:rsidRPr="00866277">
        <w:rPr>
          <w:lang w:val="ro-RO"/>
        </w:rPr>
        <w:t>moburilor</w:t>
      </w:r>
      <w:proofErr w:type="spellEnd"/>
      <w:r w:rsidRPr="00866277">
        <w:rPr>
          <w:lang w:val="ro-RO"/>
        </w:rPr>
        <w:t xml:space="preserve">, concursurilor elaborarea și distribuirea materialelor informaționale, derularea spoturilor </w:t>
      </w:r>
      <w:proofErr w:type="spellStart"/>
      <w:r w:rsidRPr="00866277">
        <w:rPr>
          <w:lang w:val="ro-RO"/>
        </w:rPr>
        <w:t>sociale,comunicate</w:t>
      </w:r>
      <w:proofErr w:type="spellEnd"/>
      <w:r w:rsidRPr="00866277">
        <w:rPr>
          <w:lang w:val="ro-RO"/>
        </w:rPr>
        <w:t xml:space="preserve"> de presă, etc. </w:t>
      </w:r>
    </w:p>
    <w:p w:rsidR="0023485A" w:rsidRPr="00866277" w:rsidRDefault="0023485A" w:rsidP="00583426">
      <w:pPr>
        <w:ind w:firstLine="720"/>
        <w:jc w:val="both"/>
        <w:rPr>
          <w:lang w:val="ro-RO"/>
        </w:rPr>
      </w:pPr>
      <w:r w:rsidRPr="00866277">
        <w:rPr>
          <w:lang w:val="ro-RO"/>
        </w:rPr>
        <w:t xml:space="preserve">În perioada de referință, specialiștii ANSP au elaborat 33 de materiale informative pentru instituțiile teritoriale, 13 tipuri de materiale informaționale (pliante, broșuri, </w:t>
      </w:r>
      <w:proofErr w:type="spellStart"/>
      <w:r w:rsidRPr="00866277">
        <w:rPr>
          <w:lang w:val="ro-RO"/>
        </w:rPr>
        <w:t>infografice</w:t>
      </w:r>
      <w:proofErr w:type="spellEnd"/>
      <w:r w:rsidRPr="00866277">
        <w:rPr>
          <w:lang w:val="ro-RO"/>
        </w:rPr>
        <w:t xml:space="preserve">) în diferite aspecte ale modului sănătos de viață în tiraj de 15 mii de exemplare, inclusiv: promovarea alăptării, spălatul pe mâini, prevenirea diabetului, promovarea alimentației sănătoase la copii, reducerea riscurilor asupra sănătății promovarea alimentației sănătoase la copii, reducerea riscurilor asupra sănătății a buruienii ambrozia, prevenirea intoxicațiilor chimice, etc. Au fost distribuite beneficiarilor (populației-țintă) circa 145 mii de pliante, broșuri, postere elaborate cu suportul partenerilor externi. </w:t>
      </w:r>
    </w:p>
    <w:p w:rsidR="0023485A" w:rsidRPr="00866277" w:rsidRDefault="0023485A" w:rsidP="00583426">
      <w:pPr>
        <w:ind w:firstLine="720"/>
        <w:jc w:val="both"/>
        <w:rPr>
          <w:lang w:val="ro-RO"/>
        </w:rPr>
      </w:pPr>
      <w:r w:rsidRPr="00866277">
        <w:rPr>
          <w:lang w:val="ro-RO"/>
        </w:rPr>
        <w:t xml:space="preserve">Au fost utilizate diverse căi de comunicare și informare: TV, radio, presa scrisă, paginile WEB, rețele de socializare, ecrane LED, etc. </w:t>
      </w:r>
      <w:proofErr w:type="spellStart"/>
      <w:r w:rsidRPr="00866277">
        <w:rPr>
          <w:lang w:val="ro-RO"/>
        </w:rPr>
        <w:t>Totdată</w:t>
      </w:r>
      <w:proofErr w:type="spellEnd"/>
      <w:r w:rsidRPr="00866277">
        <w:rPr>
          <w:lang w:val="ro-RO"/>
        </w:rPr>
        <w:t>, specialiștii ANSP au participat la 282 de emisiuni TV, 44 de emisiuni radio, 213 publicații în presă, s-au plasat pe pagina WEB a instituției – 161 de comunicate de presă.</w:t>
      </w:r>
    </w:p>
    <w:p w:rsidR="0023485A" w:rsidRPr="00866277" w:rsidRDefault="0023485A" w:rsidP="00583426">
      <w:pPr>
        <w:ind w:firstLine="720"/>
        <w:jc w:val="both"/>
        <w:rPr>
          <w:lang w:val="ro-RO"/>
        </w:rPr>
      </w:pPr>
      <w:r w:rsidRPr="00866277">
        <w:rPr>
          <w:lang w:val="ro-RO"/>
        </w:rPr>
        <w:t xml:space="preserve">Pe parcursul lunii septembrie 2019 cu suportul Proiectului </w:t>
      </w:r>
      <w:proofErr w:type="spellStart"/>
      <w:r w:rsidRPr="00866277">
        <w:rPr>
          <w:lang w:val="ro-RO"/>
        </w:rPr>
        <w:t>moldo</w:t>
      </w:r>
      <w:proofErr w:type="spellEnd"/>
      <w:r w:rsidRPr="00866277">
        <w:rPr>
          <w:lang w:val="ro-RO"/>
        </w:rPr>
        <w:t>-elvețian „Viață Sănătoasă” a fost desfășurată Campania de informare „Redu sarea din mâncare”. Scopul fiind informarea și sensibilizarea populației despre obiceiurile alimentare deficitare legate de consumul excesiv de sare și alternativele sănătoase. Au fost produse două spoturi video (filmat și animat). Acestea au fost distribuite atât la posturile TV, cât și pe rețelele de socializare. Pentru campania online au fost realizate seturi de bannere web și postări grafice, însoțite de text au fost distribuite pe paginile web cele mai populare și pe pagina de Facebook a Agenției Naț</w:t>
      </w:r>
      <w:r w:rsidR="000D2431">
        <w:rPr>
          <w:lang w:val="ro-RO"/>
        </w:rPr>
        <w:t xml:space="preserve">ionale de Sănătate Publică. </w:t>
      </w:r>
      <w:proofErr w:type="spellStart"/>
      <w:r w:rsidR="000D2431">
        <w:rPr>
          <w:lang w:val="ro-RO"/>
        </w:rPr>
        <w:t>Ba</w:t>
      </w:r>
      <w:r w:rsidRPr="00866277">
        <w:rPr>
          <w:lang w:val="ro-RO"/>
        </w:rPr>
        <w:t>nerele</w:t>
      </w:r>
      <w:proofErr w:type="spellEnd"/>
      <w:r w:rsidRPr="00866277">
        <w:rPr>
          <w:lang w:val="ro-RO"/>
        </w:rPr>
        <w:t xml:space="preserve"> au inclus un link către o pagină creată special pe portalul </w:t>
      </w:r>
      <w:hyperlink r:id="rId14" w:history="1">
        <w:r w:rsidRPr="00866277">
          <w:rPr>
            <w:rStyle w:val="Hyperlink"/>
            <w:i/>
            <w:color w:val="auto"/>
            <w:lang w:val="ro-RO"/>
          </w:rPr>
          <w:t>www.prosanatate.md</w:t>
        </w:r>
      </w:hyperlink>
      <w:r w:rsidRPr="00866277">
        <w:rPr>
          <w:lang w:val="ro-RO"/>
        </w:rPr>
        <w:t>, cu un test interactiv care indică nivelul de consum de sare și oferă recomandări privind alternativele alimentare sănătoase. De asemenea, au fost realizate două spoturi audio, care au fost difuzate la 4 posturi de radio, ascultate de 61% dintre ascultătorii de radio din Moldova</w:t>
      </w:r>
      <w:r w:rsidR="00AF6485" w:rsidRPr="00866277">
        <w:rPr>
          <w:lang w:val="ro-RO"/>
        </w:rPr>
        <w:t>.</w:t>
      </w:r>
      <w:r w:rsidR="00212C48" w:rsidRPr="00866277">
        <w:rPr>
          <w:lang w:val="ro-RO"/>
        </w:rPr>
        <w:tab/>
      </w:r>
    </w:p>
    <w:p w:rsidR="00826028" w:rsidRPr="00866277" w:rsidRDefault="00330BA7" w:rsidP="00867DD0">
      <w:pPr>
        <w:ind w:firstLine="720"/>
        <w:jc w:val="both"/>
        <w:rPr>
          <w:rStyle w:val="Hyperlink"/>
          <w:color w:val="auto"/>
          <w:lang w:val="ro-RO"/>
        </w:rPr>
      </w:pPr>
      <w:r w:rsidRPr="00866277">
        <w:rPr>
          <w:lang w:val="ro-RO"/>
        </w:rPr>
        <w:t>ANRE</w:t>
      </w:r>
      <w:r w:rsidRPr="00866277">
        <w:rPr>
          <w:b/>
          <w:lang w:val="ro-RO"/>
        </w:rPr>
        <w:t xml:space="preserve"> </w:t>
      </w:r>
      <w:r w:rsidR="002B4067" w:rsidRPr="00866277">
        <w:rPr>
          <w:lang w:val="ro-RO"/>
        </w:rPr>
        <w:t xml:space="preserve">a comunicat despre organizarea a </w:t>
      </w:r>
      <w:r w:rsidRPr="00866277">
        <w:rPr>
          <w:bCs/>
          <w:lang w:val="ro-RO"/>
        </w:rPr>
        <w:t>11 ședințe publice cu participarea părților interesate, inclusiv, cu participarea mass-media. Informația despre organizarea ședințelor publice</w:t>
      </w:r>
      <w:r w:rsidR="002B4067" w:rsidRPr="00866277">
        <w:rPr>
          <w:bCs/>
          <w:lang w:val="ro-RO"/>
        </w:rPr>
        <w:t xml:space="preserve"> a fost plasată pe site-ul ANRE și plasarea a </w:t>
      </w:r>
      <w:r w:rsidRPr="00866277">
        <w:rPr>
          <w:bCs/>
          <w:lang w:val="ro-RO"/>
        </w:rPr>
        <w:t>85 comunicate prin intermediul site-ului ANRE, inclusiv, privind funcționarea serviciului Linia verde instituit pentru informare</w:t>
      </w:r>
      <w:r w:rsidR="002B4067" w:rsidRPr="00866277">
        <w:rPr>
          <w:bCs/>
          <w:lang w:val="ro-RO"/>
        </w:rPr>
        <w:t>a și consultarea consumatorilor.  De asemenea, ANRE a</w:t>
      </w:r>
      <w:r w:rsidRPr="00866277">
        <w:rPr>
          <w:bCs/>
          <w:lang w:val="ro-RO"/>
        </w:rPr>
        <w:t xml:space="preserve"> elaborat Proiectul Ghidului Consumatorului în domeniul energetic și serviciului de alimentare cu apă și de canalizare, care a fost consultat cu operator</w:t>
      </w:r>
      <w:r w:rsidR="002B4067" w:rsidRPr="00866277">
        <w:rPr>
          <w:bCs/>
          <w:lang w:val="ro-RO"/>
        </w:rPr>
        <w:t>ii ce activează în domeniul dat. Totodată, u</w:t>
      </w:r>
      <w:r w:rsidRPr="00866277">
        <w:rPr>
          <w:lang w:val="ro-RO"/>
        </w:rPr>
        <w:t xml:space="preserve">n spot informativ plasat pe pagina web.md și pagina oficială </w:t>
      </w:r>
      <w:hyperlink r:id="rId15" w:history="1">
        <w:r w:rsidRPr="00866277">
          <w:rPr>
            <w:rStyle w:val="Hyperlink"/>
            <w:color w:val="auto"/>
            <w:lang w:val="ro-RO"/>
          </w:rPr>
          <w:t>https://www.facebook.com/anre.moldova</w:t>
        </w:r>
      </w:hyperlink>
      <w:r w:rsidR="002B4067" w:rsidRPr="00866277">
        <w:rPr>
          <w:rStyle w:val="Hyperlink"/>
          <w:color w:val="auto"/>
          <w:lang w:val="ro-RO"/>
        </w:rPr>
        <w:t>.</w:t>
      </w:r>
      <w:r w:rsidR="00826028" w:rsidRPr="00866277">
        <w:rPr>
          <w:rStyle w:val="Hyperlink"/>
          <w:color w:val="auto"/>
          <w:lang w:val="ro-RO"/>
        </w:rPr>
        <w:t xml:space="preserve"> </w:t>
      </w:r>
    </w:p>
    <w:p w:rsidR="00330BA7" w:rsidRPr="00866277" w:rsidRDefault="00330BA7" w:rsidP="00867DD0">
      <w:pPr>
        <w:ind w:firstLine="720"/>
        <w:jc w:val="both"/>
        <w:rPr>
          <w:lang w:val="ro-RO"/>
        </w:rPr>
      </w:pPr>
      <w:r w:rsidRPr="00866277">
        <w:rPr>
          <w:lang w:val="ro-RO"/>
        </w:rPr>
        <w:t>În contextul optimizării noii versiuni a paginii oficiale a ANRE în luna iunie 2019, Agenția a lansat o nouă versiune a site-ului, astfel începând cu a doua jumătate a anului 2019 site-ul a fost accesat de 29 mii de vizitatori unici.  </w:t>
      </w:r>
    </w:p>
    <w:p w:rsidR="00671802" w:rsidRPr="00866277" w:rsidRDefault="00671802" w:rsidP="00867DD0">
      <w:pPr>
        <w:ind w:firstLine="720"/>
        <w:jc w:val="both"/>
        <w:rPr>
          <w:lang w:val="ro-MD"/>
        </w:rPr>
      </w:pPr>
      <w:r w:rsidRPr="00866277">
        <w:rPr>
          <w:lang w:val="ro-MD"/>
        </w:rPr>
        <w:t>În vederea informării consumatorilor ANTA a organizat o campanie de inf</w:t>
      </w:r>
      <w:r w:rsidR="000D2431">
        <w:rPr>
          <w:lang w:val="ro-MD"/>
        </w:rPr>
        <w:t>o</w:t>
      </w:r>
      <w:r w:rsidRPr="00866277">
        <w:rPr>
          <w:lang w:val="ro-MD"/>
        </w:rPr>
        <w:t>rmare cu ocazia Zilei Europei. De asemenea, ANTA a plasat 26 de informații și comunicate pe pagina electronică a instituției și a difuzat 26 materiale informaționale; a elaborat cca 10000 broșuri și a distribuit peste 6000 materiale privind drepturile consumatorilor. Totodată, a înregistrat</w:t>
      </w:r>
      <w:r w:rsidR="000D2431">
        <w:rPr>
          <w:lang w:val="ro-MD"/>
        </w:rPr>
        <w:t xml:space="preserve"> un număr de 16 apariții media.</w:t>
      </w:r>
      <w:r w:rsidRPr="00866277">
        <w:rPr>
          <w:lang w:val="ro-MD"/>
        </w:rPr>
        <w:t xml:space="preserve"> Numărul vizitatorilor unici ai paginii web oficiale a instituții a atins pe parcursul anului 2019 cifra de -157478.</w:t>
      </w:r>
    </w:p>
    <w:p w:rsidR="0023485A" w:rsidRPr="00866277" w:rsidRDefault="0023485A" w:rsidP="0023485A">
      <w:pPr>
        <w:ind w:firstLine="576"/>
        <w:jc w:val="both"/>
        <w:rPr>
          <w:lang w:val="ro-MD"/>
        </w:rPr>
      </w:pPr>
    </w:p>
    <w:p w:rsidR="00D73D41" w:rsidRPr="00164EE4" w:rsidRDefault="006113B3" w:rsidP="00164EE4">
      <w:pPr>
        <w:ind w:firstLine="720"/>
        <w:jc w:val="both"/>
        <w:rPr>
          <w:lang w:val="ro-RO"/>
        </w:rPr>
      </w:pPr>
      <w:r w:rsidRPr="00164EE4">
        <w:rPr>
          <w:lang w:val="ro-RO" w:eastAsia="ro-RO"/>
        </w:rPr>
        <w:t xml:space="preserve">Cu referire la </w:t>
      </w:r>
      <w:r w:rsidRPr="00164EE4">
        <w:rPr>
          <w:i/>
          <w:lang w:val="ro-RO" w:eastAsia="ro-RO"/>
        </w:rPr>
        <w:t xml:space="preserve">organizarea </w:t>
      </w:r>
      <w:proofErr w:type="spellStart"/>
      <w:r w:rsidRPr="00164EE4">
        <w:rPr>
          <w:i/>
          <w:lang w:val="ro-RO" w:eastAsia="ro-RO"/>
        </w:rPr>
        <w:t>şi</w:t>
      </w:r>
      <w:proofErr w:type="spellEnd"/>
      <w:r w:rsidRPr="00164EE4">
        <w:rPr>
          <w:i/>
          <w:lang w:val="ro-RO" w:eastAsia="ro-RO"/>
        </w:rPr>
        <w:t xml:space="preserve"> </w:t>
      </w:r>
      <w:r w:rsidR="00124CF3" w:rsidRPr="00164EE4">
        <w:rPr>
          <w:i/>
          <w:lang w:val="ro-RO" w:eastAsia="ro-RO"/>
        </w:rPr>
        <w:t>susținerea</w:t>
      </w:r>
      <w:r w:rsidRPr="00164EE4">
        <w:rPr>
          <w:i/>
          <w:lang w:val="ro-RO" w:eastAsia="ro-RO"/>
        </w:rPr>
        <w:t xml:space="preserve"> programelor de educare </w:t>
      </w:r>
      <w:proofErr w:type="spellStart"/>
      <w:r w:rsidRPr="00164EE4">
        <w:rPr>
          <w:i/>
          <w:lang w:val="ro-RO" w:eastAsia="ro-RO"/>
        </w:rPr>
        <w:t>şi</w:t>
      </w:r>
      <w:proofErr w:type="spellEnd"/>
      <w:r w:rsidRPr="00164EE4">
        <w:rPr>
          <w:i/>
          <w:lang w:val="ro-RO" w:eastAsia="ro-RO"/>
        </w:rPr>
        <w:t xml:space="preserve"> </w:t>
      </w:r>
      <w:r w:rsidR="00124CF3" w:rsidRPr="00164EE4">
        <w:rPr>
          <w:i/>
          <w:lang w:val="ro-RO" w:eastAsia="ro-RO"/>
        </w:rPr>
        <w:t>conștientizare</w:t>
      </w:r>
      <w:r w:rsidRPr="00164EE4">
        <w:rPr>
          <w:i/>
          <w:lang w:val="ro-RO" w:eastAsia="ro-RO"/>
        </w:rPr>
        <w:t xml:space="preserve"> privind </w:t>
      </w:r>
      <w:r w:rsidR="00124CF3" w:rsidRPr="00164EE4">
        <w:rPr>
          <w:i/>
          <w:lang w:val="ro-RO" w:eastAsia="ro-RO"/>
        </w:rPr>
        <w:t>obligația</w:t>
      </w:r>
      <w:r w:rsidRPr="00164EE4">
        <w:rPr>
          <w:i/>
          <w:lang w:val="ro-RO" w:eastAsia="ro-RO"/>
        </w:rPr>
        <w:t xml:space="preserve"> de asumare a </w:t>
      </w:r>
      <w:r w:rsidR="00124CF3" w:rsidRPr="00164EE4">
        <w:rPr>
          <w:i/>
          <w:lang w:val="ro-RO" w:eastAsia="ro-RO"/>
        </w:rPr>
        <w:t>responsabilității</w:t>
      </w:r>
      <w:r w:rsidRPr="00164EE4">
        <w:rPr>
          <w:i/>
          <w:lang w:val="ro-RO" w:eastAsia="ro-RO"/>
        </w:rPr>
        <w:t xml:space="preserve"> producătorului </w:t>
      </w:r>
      <w:proofErr w:type="spellStart"/>
      <w:r w:rsidRPr="00164EE4">
        <w:rPr>
          <w:i/>
          <w:lang w:val="ro-RO" w:eastAsia="ro-RO"/>
        </w:rPr>
        <w:t>şi</w:t>
      </w:r>
      <w:proofErr w:type="spellEnd"/>
      <w:r w:rsidRPr="00164EE4">
        <w:rPr>
          <w:i/>
          <w:lang w:val="ro-RO" w:eastAsia="ro-RO"/>
        </w:rPr>
        <w:t xml:space="preserve"> a principiului „poluatorul </w:t>
      </w:r>
      <w:r w:rsidR="00124CF3" w:rsidRPr="00164EE4">
        <w:rPr>
          <w:i/>
          <w:lang w:val="ro-RO" w:eastAsia="ro-RO"/>
        </w:rPr>
        <w:t>plătește</w:t>
      </w:r>
      <w:r w:rsidRPr="00164EE4">
        <w:rPr>
          <w:i/>
          <w:lang w:val="ro-RO" w:eastAsia="ro-RO"/>
        </w:rPr>
        <w:t xml:space="preserve">” </w:t>
      </w:r>
      <w:r w:rsidR="000B7C3C" w:rsidRPr="00164EE4">
        <w:rPr>
          <w:i/>
          <w:lang w:val="ro-RO"/>
        </w:rPr>
        <w:t>prevăzut în Legea nr.209/2016 privind deșeurile</w:t>
      </w:r>
      <w:r w:rsidR="000B7C3C" w:rsidRPr="00164EE4">
        <w:rPr>
          <w:lang w:val="ro-RO" w:eastAsia="ro-RO"/>
        </w:rPr>
        <w:t xml:space="preserve"> </w:t>
      </w:r>
      <w:r w:rsidRPr="00164EE4">
        <w:rPr>
          <w:lang w:val="ro-RO" w:eastAsia="ro-RO"/>
        </w:rPr>
        <w:t>(</w:t>
      </w:r>
      <w:r w:rsidRPr="00164EE4">
        <w:rPr>
          <w:b/>
          <w:lang w:val="ro-RO" w:eastAsia="ro-RO"/>
        </w:rPr>
        <w:t>pct.3.1.4</w:t>
      </w:r>
      <w:r w:rsidRPr="00164EE4">
        <w:rPr>
          <w:lang w:val="ro-RO" w:eastAsia="ro-RO"/>
        </w:rPr>
        <w:t xml:space="preserve">) menționăm că, </w:t>
      </w:r>
      <w:r w:rsidR="00D73D41" w:rsidRPr="00164EE4">
        <w:rPr>
          <w:lang w:val="ro-RO"/>
        </w:rPr>
        <w:t>pe parcursul perioadei</w:t>
      </w:r>
      <w:r w:rsidR="009A784D">
        <w:rPr>
          <w:lang w:val="ro-RO"/>
        </w:rPr>
        <w:t xml:space="preserve"> de raportare a fost efectuată </w:t>
      </w:r>
      <w:r w:rsidR="00D73D41" w:rsidRPr="00164EE4">
        <w:rPr>
          <w:lang w:val="ro-RO"/>
        </w:rPr>
        <w:t>vizita de studiu în or. Belgrad (Serbia) cu instruiri în domeniul reglementării substanțelor chimice și deșeurilor, inclusiv pe aspectele juridice și practice legate de mecanismul REP, fiind desfășurate de către Ministerul Mediului din Serbia în perioada de 25-26 septembrie 2019. Vizita de studiu a participanților Republicii Moldova a fost e</w:t>
      </w:r>
      <w:r w:rsidR="00164EE4" w:rsidRPr="00164EE4">
        <w:rPr>
          <w:lang w:val="ro-RO"/>
        </w:rPr>
        <w:t>fectuată în cadrul proiectului „</w:t>
      </w:r>
      <w:r w:rsidR="00D73D41" w:rsidRPr="00164EE4">
        <w:rPr>
          <w:lang w:val="ro-RO"/>
        </w:rPr>
        <w:t xml:space="preserve">Îmbunătățirea cadrului instituțional și de reglementare privind gestionarea substanțelor chimice și al deșeurilor de-a lungul ciclului lor de viață în Republica Moldova”, finanțat de Programul special stabilit în cadrul </w:t>
      </w:r>
      <w:r w:rsidR="00D73D41" w:rsidRPr="00164EE4">
        <w:rPr>
          <w:lang w:val="ro-RO"/>
        </w:rPr>
        <w:lastRenderedPageBreak/>
        <w:t>Programului Națiunilor Unite pentru Mediu (UNEP). În vizita de studiu au participat reprezentanții businessului, funcționari</w:t>
      </w:r>
      <w:r w:rsidR="00164EE4">
        <w:rPr>
          <w:lang w:val="ro-RO"/>
        </w:rPr>
        <w:t>i publici din cadrul MADRM etc.</w:t>
      </w:r>
    </w:p>
    <w:p w:rsidR="00D73D41" w:rsidRPr="00164EE4" w:rsidRDefault="00D73D41" w:rsidP="00164EE4">
      <w:pPr>
        <w:ind w:firstLine="720"/>
        <w:jc w:val="both"/>
        <w:rPr>
          <w:lang w:val="ro-RO"/>
        </w:rPr>
      </w:pPr>
      <w:r w:rsidRPr="00164EE4">
        <w:rPr>
          <w:lang w:val="ro-RO"/>
        </w:rPr>
        <w:t>În perioada septembrie-noiembrie 2019 în cadrul Agenției de Mediu din subordinea MADRM au fost organizate 3 întrevederi cu agenții economici privind crearea sistemelor colective de gestionare a deșeurilor,</w:t>
      </w:r>
      <w:r w:rsidR="00164EE4">
        <w:rPr>
          <w:lang w:val="ro-RO"/>
        </w:rPr>
        <w:t xml:space="preserve"> reglementate de mecanismul REP.</w:t>
      </w:r>
    </w:p>
    <w:p w:rsidR="00D73D41" w:rsidRPr="00866277" w:rsidRDefault="008A735E" w:rsidP="00164EE4">
      <w:pPr>
        <w:ind w:firstLine="720"/>
        <w:jc w:val="both"/>
        <w:rPr>
          <w:lang w:val="ro-RO" w:eastAsia="ro-RO"/>
        </w:rPr>
      </w:pPr>
      <w:r>
        <w:rPr>
          <w:lang w:val="ro-RO"/>
        </w:rPr>
        <w:t>Suplimentar,</w:t>
      </w:r>
      <w:r w:rsidR="00164EE4" w:rsidRPr="00164EE4">
        <w:rPr>
          <w:lang w:val="ro-RO"/>
        </w:rPr>
        <w:t xml:space="preserve"> p</w:t>
      </w:r>
      <w:r w:rsidR="00D73D41" w:rsidRPr="00164EE4">
        <w:rPr>
          <w:lang w:val="ro-RO"/>
        </w:rPr>
        <w:t>e parcursul perioadei de raportare au fost desfășurate trei seminare cu subdiviziunile Agenții de Mediu din teritoriu (în regiunile Nord, Centru, Sud) de instruiri cu privire la ținerea evidenței și transmiterea datelor și informațiilor despre deșeuri și gestionarea acestora, inclusive celor din categoria produselor care cad sub incidența regimului REP. La seminarele desfășurate au participat circa de 100 participanți.</w:t>
      </w:r>
    </w:p>
    <w:p w:rsidR="00CD4D6D" w:rsidRPr="00866277" w:rsidRDefault="00CD4D6D" w:rsidP="00CD4D6D">
      <w:pPr>
        <w:ind w:firstLine="720"/>
        <w:jc w:val="both"/>
        <w:rPr>
          <w:lang w:val="ro-RO"/>
        </w:rPr>
      </w:pPr>
    </w:p>
    <w:p w:rsidR="00D73D41" w:rsidRPr="00725F69" w:rsidRDefault="00925C69" w:rsidP="00925C69">
      <w:pPr>
        <w:ind w:firstLine="720"/>
        <w:jc w:val="both"/>
        <w:rPr>
          <w:lang w:val="ro-RO"/>
        </w:rPr>
      </w:pPr>
      <w:r w:rsidRPr="00925C69">
        <w:rPr>
          <w:lang w:val="ro-RO"/>
        </w:rPr>
        <w:t>Î</w:t>
      </w:r>
      <w:r w:rsidR="00124CF3" w:rsidRPr="00925C69">
        <w:rPr>
          <w:lang w:val="ro-RO"/>
        </w:rPr>
        <w:t>n</w:t>
      </w:r>
      <w:r>
        <w:rPr>
          <w:lang w:val="ro-RO"/>
        </w:rPr>
        <w:t xml:space="preserve">  </w:t>
      </w:r>
      <w:r w:rsidR="00124CF3" w:rsidRPr="00925C69">
        <w:rPr>
          <w:lang w:val="ro-RO"/>
        </w:rPr>
        <w:t>scopul</w:t>
      </w:r>
      <w:r w:rsidR="00124CF3" w:rsidRPr="00925C69">
        <w:rPr>
          <w:i/>
          <w:lang w:val="ro-RO"/>
        </w:rPr>
        <w:t xml:space="preserve"> asigurării sensibilizării și informării publicului larg privind consecințele practicilor necorespunzătoare în domeniul gestionării deșeurilor</w:t>
      </w:r>
      <w:r w:rsidR="00124CF3" w:rsidRPr="00925C69">
        <w:rPr>
          <w:lang w:val="ro-RO"/>
        </w:rPr>
        <w:t xml:space="preserve"> (</w:t>
      </w:r>
      <w:r w:rsidR="00124CF3" w:rsidRPr="00925C69">
        <w:rPr>
          <w:b/>
          <w:lang w:val="ro-RO"/>
        </w:rPr>
        <w:t>pct. 3.1.5</w:t>
      </w:r>
      <w:r w:rsidR="00124CF3" w:rsidRPr="00925C69">
        <w:rPr>
          <w:lang w:val="ro-RO"/>
        </w:rPr>
        <w:t>), inclusiv a celor periculoase din punct de vedere a protecției mediului</w:t>
      </w:r>
      <w:r w:rsidR="00FA0F58" w:rsidRPr="00925C69">
        <w:rPr>
          <w:lang w:val="ro-RO"/>
        </w:rPr>
        <w:t xml:space="preserve">, </w:t>
      </w:r>
      <w:r>
        <w:rPr>
          <w:lang w:val="ro-RO"/>
        </w:rPr>
        <w:t>p</w:t>
      </w:r>
      <w:r w:rsidR="00D73D41" w:rsidRPr="00725F69">
        <w:rPr>
          <w:lang w:val="ro-RO"/>
        </w:rPr>
        <w:t xml:space="preserve">e parcursul anului 2019 sub patronajul Ministerului Agriculturii, Dezvoltării Regionale și Mediului au fost continuate campaniile de conștientizare, propagare și demonstrare a bunelor practici de colectare și gestionare a deșeurilor de produse, care cad sub incidența mecanismului REP, fiind desfășurate de asociațiile neguvernamentale de mediu în comun cu întreprinderile - titularii de autorizații de mediu pentru gestionarea deșeurilor. </w:t>
      </w:r>
    </w:p>
    <w:p w:rsidR="00D73D41" w:rsidRPr="00725F69" w:rsidRDefault="00D73D41" w:rsidP="00925C69">
      <w:pPr>
        <w:ind w:firstLine="720"/>
        <w:jc w:val="both"/>
        <w:rPr>
          <w:lang w:val="ro-RO"/>
        </w:rPr>
      </w:pPr>
      <w:r w:rsidRPr="00725F69">
        <w:rPr>
          <w:lang w:val="ro-RO"/>
        </w:rPr>
        <w:t xml:space="preserve">Astfel, pe parcursul perioadei de raportare s-a continuat realizarea proiectului ecologic pentru o Moldova mai verde și mai competitivă "Oraș curat cu e-deșeu reciclat", inițiativa căruia aparține A.O. „Asociația pentru Valorificarea Deșeurilor” (AVD). Realizarea campaniilor a fost desfășurată cu suportul financiar oferit de Fondul Global de Mediu prin intermediul Programului de granturi mici. Informarea și sensibilizarea publicului privind realizarea proiectului se efectuează prin implicarea </w:t>
      </w:r>
      <w:r>
        <w:rPr>
          <w:lang w:val="ro-RO"/>
        </w:rPr>
        <w:t>acestuia în realizarea activităților</w:t>
      </w:r>
      <w:r w:rsidRPr="00725F69">
        <w:rPr>
          <w:lang w:val="ro-RO"/>
        </w:rPr>
        <w:t xml:space="preserve"> campan</w:t>
      </w:r>
      <w:r>
        <w:rPr>
          <w:lang w:val="ro-RO"/>
        </w:rPr>
        <w:t xml:space="preserve">iei, prin conferințe de presă, al </w:t>
      </w:r>
      <w:r w:rsidRPr="00725F69">
        <w:rPr>
          <w:lang w:val="ro-RO"/>
        </w:rPr>
        <w:t>Revistei „Managementul deșeurilor”, inclusiv prin pagina web a aces</w:t>
      </w:r>
      <w:r w:rsidR="00925C69">
        <w:rPr>
          <w:lang w:val="ro-RO"/>
        </w:rPr>
        <w:t>teia și alte surse de informare.</w:t>
      </w:r>
    </w:p>
    <w:p w:rsidR="00D73D41" w:rsidRPr="00725F69" w:rsidRDefault="00D73D41" w:rsidP="00925C69">
      <w:pPr>
        <w:ind w:firstLine="720"/>
        <w:jc w:val="both"/>
        <w:rPr>
          <w:lang w:val="ro-RO"/>
        </w:rPr>
      </w:pPr>
      <w:r w:rsidRPr="00725F69">
        <w:rPr>
          <w:lang w:val="ro-RO"/>
        </w:rPr>
        <w:t>La data de 15 se</w:t>
      </w:r>
      <w:r>
        <w:rPr>
          <w:lang w:val="ro-RO"/>
        </w:rPr>
        <w:t xml:space="preserve">ptembrie 2019, în cadrul Iarmarocului Oportunităților Ecologice și al </w:t>
      </w:r>
      <w:proofErr w:type="spellStart"/>
      <w:r>
        <w:rPr>
          <w:lang w:val="ro-RO"/>
        </w:rPr>
        <w:t>Antreprenoriatului</w:t>
      </w:r>
      <w:proofErr w:type="spellEnd"/>
      <w:r>
        <w:rPr>
          <w:lang w:val="ro-RO"/>
        </w:rPr>
        <w:t xml:space="preserve"> Social-</w:t>
      </w:r>
      <w:proofErr w:type="spellStart"/>
      <w:r>
        <w:rPr>
          <w:lang w:val="ro-RO"/>
        </w:rPr>
        <w:t>IarmarEco</w:t>
      </w:r>
      <w:proofErr w:type="spellEnd"/>
      <w:r>
        <w:rPr>
          <w:lang w:val="ro-RO"/>
        </w:rPr>
        <w:t>,</w:t>
      </w:r>
      <w:r w:rsidRPr="00725F69">
        <w:rPr>
          <w:lang w:val="ro-RO"/>
        </w:rPr>
        <w:t xml:space="preserve"> organizația neguvernamentală “Hai Moldova” a dat startul unei campanii naționale de colec</w:t>
      </w:r>
      <w:r>
        <w:rPr>
          <w:lang w:val="ro-RO"/>
        </w:rPr>
        <w:t>tare a e-deșeurilor. În campanie</w:t>
      </w:r>
      <w:r w:rsidRPr="00725F69">
        <w:rPr>
          <w:lang w:val="ro-RO"/>
        </w:rPr>
        <w:t xml:space="preserve"> au fost implicați și elevii din 78 școli din Republica Moldova. Urmare a aceste</w:t>
      </w:r>
      <w:r>
        <w:rPr>
          <w:lang w:val="ro-RO"/>
        </w:rPr>
        <w:t>i</w:t>
      </w:r>
      <w:r w:rsidRPr="00725F69">
        <w:rPr>
          <w:lang w:val="ro-RO"/>
        </w:rPr>
        <w:t xml:space="preserve"> campanii, 38 299 elevi din 76 școli au colectat  în timp de o lună 45 406 kg de deșeuri electrice și electronice. </w:t>
      </w:r>
    </w:p>
    <w:p w:rsidR="00D73D41" w:rsidRPr="00866277" w:rsidRDefault="00D73D41" w:rsidP="00925C69">
      <w:pPr>
        <w:ind w:firstLine="720"/>
        <w:jc w:val="both"/>
        <w:rPr>
          <w:lang w:val="ro-RO"/>
        </w:rPr>
      </w:pPr>
      <w:r>
        <w:rPr>
          <w:lang w:val="ro-RO"/>
        </w:rPr>
        <w:t>P</w:t>
      </w:r>
      <w:r w:rsidRPr="00725F69">
        <w:rPr>
          <w:lang w:val="ro-RO"/>
        </w:rPr>
        <w:t>e pagina web a Agenției de Mediu</w:t>
      </w:r>
      <w:r>
        <w:rPr>
          <w:lang w:val="ro-RO"/>
        </w:rPr>
        <w:t xml:space="preserve"> </w:t>
      </w:r>
      <w:hyperlink r:id="rId16" w:history="1">
        <w:r>
          <w:rPr>
            <w:rStyle w:val="Hyperlink"/>
          </w:rPr>
          <w:t>http://www.mediu.gov.md/ro</w:t>
        </w:r>
      </w:hyperlink>
      <w:r>
        <w:t xml:space="preserve">, </w:t>
      </w:r>
      <w:proofErr w:type="spellStart"/>
      <w:r>
        <w:t>poate</w:t>
      </w:r>
      <w:proofErr w:type="spellEnd"/>
      <w:r>
        <w:t xml:space="preserve"> fi </w:t>
      </w:r>
      <w:proofErr w:type="spellStart"/>
      <w:r>
        <w:t>accesată</w:t>
      </w:r>
      <w:proofErr w:type="spellEnd"/>
      <w:r>
        <w:t xml:space="preserve"> </w:t>
      </w:r>
      <w:r>
        <w:rPr>
          <w:lang w:val="ro-RO"/>
        </w:rPr>
        <w:t>rubrica</w:t>
      </w:r>
      <w:r w:rsidRPr="00725F69">
        <w:rPr>
          <w:lang w:val="ro-RO"/>
        </w:rPr>
        <w:t xml:space="preserve"> “C</w:t>
      </w:r>
      <w:r>
        <w:rPr>
          <w:lang w:val="ro-RO"/>
        </w:rPr>
        <w:t xml:space="preserve">e poți face tu pentru a proteja </w:t>
      </w:r>
      <w:r w:rsidRPr="00725F69">
        <w:rPr>
          <w:lang w:val="ro-RO"/>
        </w:rPr>
        <w:t>mediul?”</w:t>
      </w:r>
      <w:r>
        <w:rPr>
          <w:lang w:val="ro-RO"/>
        </w:rPr>
        <w:t>-</w:t>
      </w:r>
      <w:r w:rsidR="00925C69">
        <w:rPr>
          <w:lang w:val="ro-RO"/>
        </w:rPr>
        <w:t xml:space="preserve"> </w:t>
      </w:r>
      <w:r w:rsidR="00925C69">
        <w:fldChar w:fldCharType="begin"/>
      </w:r>
      <w:r w:rsidR="00925C69">
        <w:instrText xml:space="preserve"> HYPERLINK "</w:instrText>
      </w:r>
      <w:r w:rsidR="00925C69" w:rsidRPr="00925C69">
        <w:instrText>http://www.mediu.gov.md/ro/content/ce-po%C8%9Bi-face-tu-pentru-proteja-mediul</w:instrText>
      </w:r>
      <w:r w:rsidR="00925C69">
        <w:instrText xml:space="preserve">" </w:instrText>
      </w:r>
      <w:r w:rsidR="00925C69">
        <w:fldChar w:fldCharType="separate"/>
      </w:r>
      <w:r w:rsidR="00925C69" w:rsidRPr="004B24A5">
        <w:rPr>
          <w:rStyle w:val="Hyperlink"/>
        </w:rPr>
        <w:t>http://www.mediu.gov.md/ro/content/ce-po%C8%9Bi-face-tu-pentru-proteja-mediul</w:t>
      </w:r>
      <w:r w:rsidR="00925C69">
        <w:fldChar w:fldCharType="end"/>
      </w:r>
      <w:r w:rsidRPr="00725F69">
        <w:rPr>
          <w:lang w:val="ro-RO"/>
        </w:rPr>
        <w:t xml:space="preserve">, </w:t>
      </w:r>
      <w:r>
        <w:rPr>
          <w:lang w:val="ro-RO"/>
        </w:rPr>
        <w:t>unde se găsesc informații</w:t>
      </w:r>
      <w:r w:rsidRPr="00725F69">
        <w:rPr>
          <w:lang w:val="ro-RO"/>
        </w:rPr>
        <w:t xml:space="preserve"> legate cu tematici privind reciclarea deșeurilor, combaterea plasticului, asigurarea securității perso</w:t>
      </w:r>
      <w:r>
        <w:rPr>
          <w:lang w:val="ro-RO"/>
        </w:rPr>
        <w:t>anelor</w:t>
      </w:r>
      <w:r w:rsidRPr="00725F69">
        <w:rPr>
          <w:lang w:val="ro-RO"/>
        </w:rPr>
        <w:t xml:space="preserve"> </w:t>
      </w:r>
      <w:proofErr w:type="spellStart"/>
      <w:r w:rsidRPr="00725F69">
        <w:rPr>
          <w:lang w:val="ro-RO"/>
        </w:rPr>
        <w:t>şi</w:t>
      </w:r>
      <w:proofErr w:type="spellEnd"/>
      <w:r w:rsidRPr="00725F69">
        <w:rPr>
          <w:lang w:val="ro-RO"/>
        </w:rPr>
        <w:t xml:space="preserve"> </w:t>
      </w:r>
      <w:proofErr w:type="spellStart"/>
      <w:r w:rsidRPr="00725F69">
        <w:rPr>
          <w:lang w:val="ro-RO"/>
        </w:rPr>
        <w:t>protecţiei</w:t>
      </w:r>
      <w:proofErr w:type="spellEnd"/>
      <w:r w:rsidRPr="00725F69">
        <w:rPr>
          <w:lang w:val="ro-RO"/>
        </w:rPr>
        <w:t xml:space="preserve"> mediului la utilizarea pesticidelor</w:t>
      </w:r>
      <w:r>
        <w:rPr>
          <w:lang w:val="ro-RO"/>
        </w:rPr>
        <w:t>,</w:t>
      </w:r>
      <w:r w:rsidRPr="00725F69">
        <w:rPr>
          <w:lang w:val="ro-RO"/>
        </w:rPr>
        <w:t xml:space="preserve"> etc</w:t>
      </w:r>
    </w:p>
    <w:p w:rsidR="006F1FBF" w:rsidRPr="00866277" w:rsidRDefault="006F1FBF" w:rsidP="006F1FBF">
      <w:pPr>
        <w:ind w:firstLine="720"/>
        <w:jc w:val="both"/>
        <w:rPr>
          <w:rFonts w:eastAsia="Times New Roman"/>
          <w:b/>
          <w:bCs/>
          <w:lang w:val="ro-RO"/>
        </w:rPr>
      </w:pPr>
    </w:p>
    <w:p w:rsidR="0065583F" w:rsidRPr="00866277" w:rsidRDefault="0065583F" w:rsidP="00C2236E">
      <w:pPr>
        <w:ind w:firstLine="720"/>
        <w:jc w:val="both"/>
        <w:rPr>
          <w:rFonts w:eastAsia="Times New Roman"/>
          <w:b/>
          <w:bCs/>
          <w:lang w:val="ro-RO"/>
        </w:rPr>
      </w:pPr>
      <w:r w:rsidRPr="00866277">
        <w:rPr>
          <w:rFonts w:eastAsia="Times New Roman"/>
          <w:b/>
          <w:bCs/>
          <w:lang w:val="ro-RO"/>
        </w:rPr>
        <w:t xml:space="preserve">3.4. Promovarea programelor </w:t>
      </w:r>
      <w:r w:rsidR="00130EEB" w:rsidRPr="00866277">
        <w:rPr>
          <w:rFonts w:eastAsia="Times New Roman"/>
          <w:b/>
          <w:bCs/>
          <w:lang w:val="ro-RO"/>
        </w:rPr>
        <w:t>educaționale</w:t>
      </w:r>
    </w:p>
    <w:p w:rsidR="00AF0838" w:rsidRPr="00866277" w:rsidRDefault="00AF0838" w:rsidP="00C2236E">
      <w:pPr>
        <w:ind w:firstLine="720"/>
        <w:jc w:val="both"/>
        <w:rPr>
          <w:lang w:val="ro-RO"/>
        </w:rPr>
      </w:pPr>
    </w:p>
    <w:p w:rsidR="0056640E" w:rsidRPr="00866277" w:rsidRDefault="00696F56" w:rsidP="00C2236E">
      <w:pPr>
        <w:ind w:firstLine="720"/>
        <w:jc w:val="both"/>
        <w:rPr>
          <w:bCs/>
          <w:iCs/>
          <w:lang w:val="ro-RO" w:eastAsia="ro-RO"/>
        </w:rPr>
      </w:pPr>
      <w:r w:rsidRPr="00866277">
        <w:rPr>
          <w:rFonts w:eastAsia="Times New Roman"/>
          <w:lang w:val="ro-RO"/>
        </w:rPr>
        <w:t>Întru</w:t>
      </w:r>
      <w:r w:rsidR="0056640E" w:rsidRPr="00866277">
        <w:rPr>
          <w:rFonts w:eastAsia="Times New Roman"/>
          <w:lang w:val="ro-RO"/>
        </w:rPr>
        <w:t xml:space="preserve"> </w:t>
      </w:r>
      <w:r w:rsidR="0056640E" w:rsidRPr="00866277">
        <w:rPr>
          <w:lang w:val="ro-RO" w:eastAsia="ro-RO"/>
        </w:rPr>
        <w:t xml:space="preserve">implementarea programelor educaționale privind drepturile consumatorului de către instituțiile de </w:t>
      </w:r>
      <w:r w:rsidR="00181917" w:rsidRPr="00866277">
        <w:rPr>
          <w:lang w:val="ro-RO" w:eastAsia="ro-RO"/>
        </w:rPr>
        <w:t>învățământ</w:t>
      </w:r>
      <w:r w:rsidR="0056640E" w:rsidRPr="00866277">
        <w:rPr>
          <w:lang w:val="ro-RO" w:eastAsia="ro-RO"/>
        </w:rPr>
        <w:t xml:space="preserve"> gimnazial, liceal, secundar profesional, mediu de specialitate </w:t>
      </w:r>
      <w:proofErr w:type="spellStart"/>
      <w:r w:rsidR="0056640E" w:rsidRPr="00866277">
        <w:rPr>
          <w:lang w:val="ro-RO" w:eastAsia="ro-RO"/>
        </w:rPr>
        <w:t>şi</w:t>
      </w:r>
      <w:proofErr w:type="spellEnd"/>
      <w:r w:rsidR="0056640E" w:rsidRPr="00866277">
        <w:rPr>
          <w:lang w:val="ro-RO" w:eastAsia="ro-RO"/>
        </w:rPr>
        <w:t xml:space="preserve"> universitar (</w:t>
      </w:r>
      <w:r w:rsidR="0056640E" w:rsidRPr="00866277">
        <w:rPr>
          <w:b/>
          <w:lang w:val="ro-RO" w:eastAsia="ro-RO"/>
        </w:rPr>
        <w:t>pct.</w:t>
      </w:r>
      <w:r w:rsidR="0056640E" w:rsidRPr="00866277">
        <w:rPr>
          <w:rFonts w:eastAsia="Times New Roman"/>
          <w:b/>
          <w:lang w:val="ro-RO"/>
        </w:rPr>
        <w:t>3.4.2</w:t>
      </w:r>
      <w:r w:rsidR="0056640E" w:rsidRPr="00866277">
        <w:rPr>
          <w:rFonts w:eastAsia="Times New Roman"/>
          <w:lang w:val="ro-RO"/>
        </w:rPr>
        <w:t xml:space="preserve">), </w:t>
      </w:r>
      <w:r w:rsidR="00526B6D" w:rsidRPr="00866277">
        <w:rPr>
          <w:lang w:val="ro-RO"/>
        </w:rPr>
        <w:t>MECC</w:t>
      </w:r>
      <w:r w:rsidR="0056640E" w:rsidRPr="00866277">
        <w:rPr>
          <w:lang w:val="ro-RO"/>
        </w:rPr>
        <w:t xml:space="preserve"> comunică că, în </w:t>
      </w:r>
      <w:r w:rsidR="00C5368B" w:rsidRPr="00866277">
        <w:rPr>
          <w:u w:val="single"/>
          <w:lang w:val="ro-RO"/>
        </w:rPr>
        <w:t>î</w:t>
      </w:r>
      <w:r w:rsidR="0056640E" w:rsidRPr="00866277">
        <w:rPr>
          <w:u w:val="single"/>
          <w:lang w:val="ro-RO"/>
        </w:rPr>
        <w:t>nvățământul primar și secundar general</w:t>
      </w:r>
      <w:r w:rsidR="00C5368B" w:rsidRPr="00866277">
        <w:rPr>
          <w:lang w:val="ro-RO"/>
        </w:rPr>
        <w:t>,</w:t>
      </w:r>
      <w:r w:rsidR="0056640E" w:rsidRPr="00866277">
        <w:rPr>
          <w:lang w:val="ro-RO"/>
        </w:rPr>
        <w:t xml:space="preserve"> </w:t>
      </w:r>
      <w:r w:rsidR="00C5368B" w:rsidRPr="00866277">
        <w:rPr>
          <w:bCs/>
          <w:iCs/>
          <w:lang w:val="ro-RO" w:eastAsia="ro-RO"/>
        </w:rPr>
        <w:t>r</w:t>
      </w:r>
      <w:r w:rsidR="0056640E" w:rsidRPr="00866277">
        <w:rPr>
          <w:bCs/>
          <w:iCs/>
          <w:lang w:val="ro-RO" w:eastAsia="ro-RO"/>
        </w:rPr>
        <w:t>eforma curriculară demarată în anul 2018 a determinat corelarea politicilor curriculare cu standardele educaționale naționale și internaționale și formatarea profilului absolventului prin prisma finalităților educaționale și a sistemului de competențe-cheie.</w:t>
      </w:r>
    </w:p>
    <w:p w:rsidR="00544235" w:rsidRPr="00866277" w:rsidRDefault="00544235" w:rsidP="00C2236E">
      <w:pPr>
        <w:ind w:firstLine="720"/>
        <w:jc w:val="both"/>
        <w:rPr>
          <w:rFonts w:eastAsia="Times New Roman"/>
          <w:bCs/>
          <w:iCs/>
          <w:lang w:val="ro-RO" w:eastAsia="ro-RO"/>
        </w:rPr>
      </w:pPr>
      <w:r w:rsidRPr="00866277">
        <w:rPr>
          <w:rFonts w:eastAsia="Times New Roman"/>
          <w:bCs/>
          <w:iCs/>
          <w:lang w:val="ro-RO" w:eastAsia="ro-RO"/>
        </w:rPr>
        <w:t xml:space="preserve">Astfel, noua Arie curriculară </w:t>
      </w:r>
      <w:r w:rsidRPr="00866277">
        <w:rPr>
          <w:rFonts w:eastAsia="Times New Roman"/>
          <w:bCs/>
          <w:i/>
          <w:iCs/>
          <w:lang w:val="ro-RO" w:eastAsia="ro-RO"/>
        </w:rPr>
        <w:t>Consiliere și dezvoltare personală</w:t>
      </w:r>
      <w:r w:rsidRPr="00866277">
        <w:rPr>
          <w:rFonts w:eastAsia="Times New Roman"/>
          <w:bCs/>
          <w:iCs/>
          <w:lang w:val="ro-RO" w:eastAsia="ro-RO"/>
        </w:rPr>
        <w:t xml:space="preserve"> include disciplina obligatorie </w:t>
      </w:r>
      <w:r w:rsidRPr="00866277">
        <w:rPr>
          <w:rFonts w:eastAsia="Times New Roman"/>
          <w:bCs/>
          <w:i/>
          <w:iCs/>
          <w:lang w:val="ro-RO" w:eastAsia="ro-RO"/>
        </w:rPr>
        <w:t>Dezvoltare personală</w:t>
      </w:r>
      <w:r w:rsidRPr="00866277">
        <w:rPr>
          <w:rFonts w:eastAsia="Times New Roman"/>
          <w:bCs/>
          <w:iCs/>
          <w:lang w:val="ro-RO" w:eastAsia="ro-RO"/>
        </w:rPr>
        <w:t xml:space="preserve">, propusă pentru implementare a câte 1 oră săptămânal, în învățământul primar, gimnazial și liceal. </w:t>
      </w:r>
    </w:p>
    <w:p w:rsidR="00544235" w:rsidRPr="00866277" w:rsidRDefault="00544235" w:rsidP="00C2236E">
      <w:pPr>
        <w:ind w:firstLine="720"/>
        <w:jc w:val="both"/>
        <w:rPr>
          <w:rFonts w:eastAsia="Times New Roman"/>
          <w:bCs/>
          <w:iCs/>
          <w:lang w:val="ro-RO" w:eastAsia="ro-RO"/>
        </w:rPr>
      </w:pPr>
      <w:r w:rsidRPr="00866277">
        <w:rPr>
          <w:rFonts w:eastAsia="Times New Roman"/>
          <w:bCs/>
          <w:i/>
          <w:iCs/>
          <w:lang w:val="ro-RO" w:eastAsia="ro-RO"/>
        </w:rPr>
        <w:t>Dezvoltarea personală</w:t>
      </w:r>
      <w:r w:rsidRPr="00866277">
        <w:rPr>
          <w:rFonts w:eastAsia="Times New Roman"/>
          <w:bCs/>
          <w:iCs/>
          <w:lang w:val="ro-RO" w:eastAsia="ro-RO"/>
        </w:rPr>
        <w:t xml:space="preserve"> este structurată în cinci module, unul din ele fiind </w:t>
      </w:r>
      <w:r w:rsidRPr="00866277">
        <w:rPr>
          <w:rFonts w:eastAsia="Times New Roman"/>
          <w:bCs/>
          <w:i/>
          <w:iCs/>
          <w:lang w:val="ro-RO" w:eastAsia="ro-RO"/>
        </w:rPr>
        <w:t>Proiectarea carierei profesionale și dezvoltarea spiritului antreprenorial</w:t>
      </w:r>
      <w:r w:rsidRPr="00866277">
        <w:rPr>
          <w:rFonts w:eastAsia="Times New Roman"/>
          <w:bCs/>
          <w:iCs/>
          <w:lang w:val="ro-RO" w:eastAsia="ro-RO"/>
        </w:rPr>
        <w:t xml:space="preserve"> care pune accent pe înțelegerea profesiilor din perspectiva pieței muncii, planificarea carierei și luarea deciziilor de carieră, dezvoltarea spiritului antreprenorial ca opțiune de carieră etc. Noua disciplină a fost concepută în scopul dezvoltării competențelor necesare elevilor pentru a se cunoaște, a se accepta, a deveni cetățeni informați, </w:t>
      </w:r>
      <w:r w:rsidR="008A735E">
        <w:rPr>
          <w:bCs/>
          <w:iCs/>
          <w:lang w:val="ro-RO" w:eastAsia="ro-RO"/>
        </w:rPr>
        <w:t xml:space="preserve">activi </w:t>
      </w:r>
      <w:r w:rsidRPr="00866277">
        <w:rPr>
          <w:rFonts w:eastAsia="Times New Roman"/>
          <w:bCs/>
          <w:iCs/>
          <w:lang w:val="ro-RO" w:eastAsia="ro-RO"/>
        </w:rPr>
        <w:t>și integri, a relaționa într-o atmosferă sigură, cu responsabilitate în luarea deciziilor de carieră, având următoarele competențe specifice ale disciplinei:</w:t>
      </w:r>
    </w:p>
    <w:p w:rsidR="00544235" w:rsidRPr="00866277" w:rsidRDefault="00544235" w:rsidP="00C2236E">
      <w:pPr>
        <w:pStyle w:val="ListParagraph"/>
        <w:numPr>
          <w:ilvl w:val="0"/>
          <w:numId w:val="9"/>
        </w:numPr>
        <w:spacing w:after="0" w:line="240" w:lineRule="auto"/>
        <w:ind w:left="0" w:firstLine="720"/>
        <w:contextualSpacing w:val="0"/>
        <w:jc w:val="both"/>
        <w:rPr>
          <w:rFonts w:ascii="Times New Roman" w:hAnsi="Times New Roman"/>
          <w:bCs/>
          <w:iCs/>
          <w:sz w:val="24"/>
          <w:szCs w:val="24"/>
          <w:lang w:val="ro-RO" w:eastAsia="ro-RO"/>
        </w:rPr>
      </w:pPr>
      <w:r w:rsidRPr="00866277">
        <w:rPr>
          <w:rFonts w:ascii="Times New Roman" w:hAnsi="Times New Roman"/>
          <w:bCs/>
          <w:iCs/>
          <w:sz w:val="24"/>
          <w:szCs w:val="24"/>
          <w:lang w:val="ro-RO" w:eastAsia="ro-RO"/>
        </w:rPr>
        <w:lastRenderedPageBreak/>
        <w:t xml:space="preserve">manifestarea unui comportament pro-activ, axat pe integritate și gestionarea eficientă a resurselor, orientat spre sporirea calității vieții; </w:t>
      </w:r>
    </w:p>
    <w:p w:rsidR="00544235" w:rsidRPr="00866277" w:rsidRDefault="00544235" w:rsidP="00C2236E">
      <w:pPr>
        <w:pStyle w:val="ListParagraph"/>
        <w:numPr>
          <w:ilvl w:val="0"/>
          <w:numId w:val="9"/>
        </w:numPr>
        <w:spacing w:after="0" w:line="240" w:lineRule="auto"/>
        <w:ind w:left="0" w:firstLine="720"/>
        <w:contextualSpacing w:val="0"/>
        <w:jc w:val="both"/>
        <w:rPr>
          <w:rFonts w:ascii="Times New Roman" w:hAnsi="Times New Roman"/>
          <w:bCs/>
          <w:iCs/>
          <w:sz w:val="24"/>
          <w:szCs w:val="24"/>
          <w:lang w:val="ro-RO" w:eastAsia="ro-RO"/>
        </w:rPr>
      </w:pPr>
      <w:r w:rsidRPr="00866277">
        <w:rPr>
          <w:rFonts w:ascii="Times New Roman" w:hAnsi="Times New Roman"/>
          <w:bCs/>
          <w:iCs/>
          <w:sz w:val="24"/>
          <w:szCs w:val="24"/>
          <w:lang w:val="ro-RO" w:eastAsia="ro-RO"/>
        </w:rPr>
        <w:t>proiectarea responsabilă a carierei prin valorificarea potențialului individual și a oportunităților pieței munc</w:t>
      </w:r>
      <w:r w:rsidR="008A735E">
        <w:rPr>
          <w:rFonts w:ascii="Times New Roman" w:hAnsi="Times New Roman"/>
          <w:bCs/>
          <w:iCs/>
          <w:sz w:val="24"/>
          <w:szCs w:val="24"/>
          <w:lang w:val="ro-RO" w:eastAsia="ro-RO"/>
        </w:rPr>
        <w:t>i</w:t>
      </w:r>
      <w:r w:rsidRPr="00866277">
        <w:rPr>
          <w:rFonts w:ascii="Times New Roman" w:hAnsi="Times New Roman"/>
          <w:bCs/>
          <w:iCs/>
          <w:sz w:val="24"/>
          <w:szCs w:val="24"/>
          <w:lang w:val="ro-RO" w:eastAsia="ro-RO"/>
        </w:rPr>
        <w:t>i.</w:t>
      </w:r>
    </w:p>
    <w:p w:rsidR="00544235" w:rsidRPr="00866277" w:rsidRDefault="00544235" w:rsidP="00C2236E">
      <w:pPr>
        <w:ind w:firstLine="720"/>
        <w:jc w:val="both"/>
        <w:rPr>
          <w:rFonts w:eastAsia="Times New Roman"/>
          <w:bCs/>
          <w:i/>
          <w:iCs/>
          <w:lang w:val="ro-RO" w:eastAsia="ro-RO"/>
        </w:rPr>
      </w:pPr>
      <w:r w:rsidRPr="00866277">
        <w:rPr>
          <w:rFonts w:eastAsia="Times New Roman"/>
          <w:bCs/>
          <w:iCs/>
          <w:lang w:val="ro-RO" w:eastAsia="ro-RO"/>
        </w:rPr>
        <w:t xml:space="preserve">O altă disciplină școlară, reconceptualizată în cadrul reformei curriculare este </w:t>
      </w:r>
      <w:r w:rsidRPr="00866277">
        <w:rPr>
          <w:rFonts w:eastAsia="Times New Roman"/>
          <w:bCs/>
          <w:i/>
          <w:iCs/>
          <w:lang w:val="ro-RO" w:eastAsia="ro-RO"/>
        </w:rPr>
        <w:t xml:space="preserve">Educație pentru societate </w:t>
      </w:r>
      <w:r w:rsidRPr="00866277">
        <w:rPr>
          <w:rFonts w:eastAsia="Times New Roman"/>
          <w:bCs/>
          <w:iCs/>
          <w:lang w:val="ro-RO" w:eastAsia="ro-RO"/>
        </w:rPr>
        <w:t xml:space="preserve">(cl. V-XII, 1 oră săptămânal), care este structurată în baza a 20 de competențe specifice, aprobate în anul 2015 de Consiliul Europei în Cadrul de referințe pentru o cultură democratică. Una dintre competențele specifice ale disciplinei este </w:t>
      </w:r>
      <w:r w:rsidRPr="00866277">
        <w:rPr>
          <w:rFonts w:eastAsia="Times New Roman"/>
          <w:b/>
          <w:bCs/>
          <w:i/>
          <w:iCs/>
          <w:lang w:val="ro-RO" w:eastAsia="ro-RO"/>
        </w:rPr>
        <w:t>formarea responsabilității</w:t>
      </w:r>
      <w:r w:rsidRPr="00866277">
        <w:rPr>
          <w:rFonts w:eastAsia="Times New Roman"/>
          <w:bCs/>
          <w:iCs/>
          <w:lang w:val="ro-RO" w:eastAsia="ro-RO"/>
        </w:rPr>
        <w:t xml:space="preserve"> –</w:t>
      </w:r>
      <w:r w:rsidR="00537BE6">
        <w:rPr>
          <w:rFonts w:eastAsia="Times New Roman"/>
          <w:bCs/>
          <w:iCs/>
          <w:lang w:val="ro-RO" w:eastAsia="ro-RO"/>
        </w:rPr>
        <w:t xml:space="preserve"> </w:t>
      </w:r>
      <w:r w:rsidRPr="00866277">
        <w:rPr>
          <w:rFonts w:eastAsia="Times New Roman"/>
          <w:bCs/>
          <w:iCs/>
          <w:lang w:val="ro-RO" w:eastAsia="ro-RO"/>
        </w:rPr>
        <w:t xml:space="preserve">dezvoltarea la elevi a unei atitudini față de propriile acțiuni, formarea intențiilor de a acționa într-o manieră adecvată moral și realizarea conștientă a acțiunilor pentru responsabilizarea propriei persoane pentru rezultate. Astfel, </w:t>
      </w:r>
      <w:r w:rsidRPr="00866277">
        <w:rPr>
          <w:lang w:val="ro-RO"/>
        </w:rPr>
        <w:t>la u</w:t>
      </w:r>
      <w:r w:rsidRPr="00866277">
        <w:rPr>
          <w:rFonts w:eastAsia="Times New Roman"/>
          <w:bCs/>
          <w:iCs/>
          <w:lang w:val="ro-RO" w:eastAsia="ro-RO"/>
        </w:rPr>
        <w:t xml:space="preserve">nități de conținuturi recomandate se regăsește tematica </w:t>
      </w:r>
      <w:r w:rsidRPr="00866277">
        <w:rPr>
          <w:rFonts w:eastAsia="Times New Roman"/>
          <w:bCs/>
          <w:i/>
          <w:iCs/>
          <w:lang w:val="ro-RO" w:eastAsia="ro-RO"/>
        </w:rPr>
        <w:t xml:space="preserve">Instrumente de </w:t>
      </w:r>
      <w:proofErr w:type="spellStart"/>
      <w:r w:rsidRPr="00866277">
        <w:rPr>
          <w:rFonts w:eastAsia="Times New Roman"/>
          <w:bCs/>
          <w:i/>
          <w:iCs/>
          <w:lang w:val="ro-RO" w:eastAsia="ro-RO"/>
        </w:rPr>
        <w:t>protecţie</w:t>
      </w:r>
      <w:proofErr w:type="spellEnd"/>
      <w:r w:rsidRPr="00866277">
        <w:rPr>
          <w:rFonts w:eastAsia="Times New Roman"/>
          <w:bCs/>
          <w:i/>
          <w:iCs/>
          <w:lang w:val="ro-RO" w:eastAsia="ro-RO"/>
        </w:rPr>
        <w:t xml:space="preserve"> și asigurare</w:t>
      </w:r>
      <w:r w:rsidRPr="00866277">
        <w:rPr>
          <w:rFonts w:eastAsia="Times New Roman"/>
          <w:bCs/>
          <w:iCs/>
          <w:lang w:val="ro-RO" w:eastAsia="ro-RO"/>
        </w:rPr>
        <w:t xml:space="preserve"> </w:t>
      </w:r>
      <w:r w:rsidRPr="00866277">
        <w:rPr>
          <w:rFonts w:eastAsia="Times New Roman"/>
          <w:bCs/>
          <w:i/>
          <w:iCs/>
          <w:lang w:val="ro-RO" w:eastAsia="ro-RO"/>
        </w:rPr>
        <w:t xml:space="preserve">a drepturilor, la unități de competențe - </w:t>
      </w:r>
      <w:r w:rsidRPr="00866277">
        <w:rPr>
          <w:i/>
          <w:lang w:val="ro-RO"/>
        </w:rPr>
        <w:t>Descrierea mecanismelor legale de protecție a drepturilor și libertăților omului/copilului, Analiza legilor ca instrument de protecție a drepturilor omului într-o societate interculturală etc.</w:t>
      </w:r>
    </w:p>
    <w:p w:rsidR="00544235" w:rsidRPr="00866277" w:rsidRDefault="00544235" w:rsidP="00C2236E">
      <w:pPr>
        <w:ind w:firstLine="720"/>
        <w:jc w:val="both"/>
        <w:rPr>
          <w:rFonts w:eastAsia="Times New Roman"/>
          <w:bCs/>
          <w:iCs/>
          <w:lang w:val="ro-RO" w:eastAsia="ro-RO"/>
        </w:rPr>
      </w:pPr>
      <w:r w:rsidRPr="00866277">
        <w:rPr>
          <w:rFonts w:eastAsia="Times New Roman"/>
          <w:bCs/>
          <w:iCs/>
          <w:lang w:val="ro-RO" w:eastAsia="ro-RO"/>
        </w:rPr>
        <w:t xml:space="preserve">Disciplinele opționale reprezintă componenta flexibilă a Planului-cadru de învățământ, care contribuie la dezvoltarea unor competențe transversale. Unul dintre domeniile prioritare de structurare a disciplinelor opționale sunt </w:t>
      </w:r>
      <w:r w:rsidRPr="00866277">
        <w:rPr>
          <w:rFonts w:eastAsia="Times New Roman"/>
          <w:b/>
          <w:bCs/>
          <w:i/>
          <w:iCs/>
          <w:lang w:val="ro-RO" w:eastAsia="ro-RO"/>
        </w:rPr>
        <w:t>antreprenorialul, creativitatea și inovația</w:t>
      </w:r>
      <w:r w:rsidRPr="00866277">
        <w:rPr>
          <w:rFonts w:eastAsia="Times New Roman"/>
          <w:bCs/>
          <w:iCs/>
          <w:lang w:val="ro-RO" w:eastAsia="ro-RO"/>
        </w:rPr>
        <w:t>, care vin să dezvolte la elevi:</w:t>
      </w:r>
    </w:p>
    <w:p w:rsidR="00544235" w:rsidRPr="00866277" w:rsidRDefault="00537BE6" w:rsidP="00C2236E">
      <w:pPr>
        <w:pStyle w:val="ListParagraph"/>
        <w:numPr>
          <w:ilvl w:val="0"/>
          <w:numId w:val="10"/>
        </w:numPr>
        <w:spacing w:after="0" w:line="240" w:lineRule="auto"/>
        <w:ind w:left="0" w:firstLine="720"/>
        <w:contextualSpacing w:val="0"/>
        <w:jc w:val="both"/>
        <w:rPr>
          <w:rFonts w:ascii="Times New Roman" w:hAnsi="Times New Roman"/>
          <w:bCs/>
          <w:iCs/>
          <w:sz w:val="24"/>
          <w:szCs w:val="24"/>
          <w:lang w:val="ro-RO" w:eastAsia="ro-RO"/>
        </w:rPr>
      </w:pPr>
      <w:r>
        <w:rPr>
          <w:rFonts w:ascii="Times New Roman" w:hAnsi="Times New Roman"/>
          <w:bCs/>
          <w:iCs/>
          <w:sz w:val="24"/>
          <w:szCs w:val="24"/>
          <w:lang w:val="ro-RO" w:eastAsia="ro-RO"/>
        </w:rPr>
        <w:t>c</w:t>
      </w:r>
      <w:r w:rsidR="00544235" w:rsidRPr="00866277">
        <w:rPr>
          <w:rFonts w:ascii="Times New Roman" w:hAnsi="Times New Roman"/>
          <w:bCs/>
          <w:iCs/>
          <w:sz w:val="24"/>
          <w:szCs w:val="24"/>
          <w:lang w:val="ro-RO" w:eastAsia="ro-RO"/>
        </w:rPr>
        <w:t>apacitatea de a proiecta și a promova proiecte în scopul realizării unor obiective;</w:t>
      </w:r>
    </w:p>
    <w:p w:rsidR="00544235" w:rsidRPr="00866277" w:rsidRDefault="00537BE6" w:rsidP="00C2236E">
      <w:pPr>
        <w:pStyle w:val="ListParagraph"/>
        <w:numPr>
          <w:ilvl w:val="0"/>
          <w:numId w:val="10"/>
        </w:numPr>
        <w:spacing w:after="0" w:line="240" w:lineRule="auto"/>
        <w:ind w:left="0" w:firstLine="720"/>
        <w:contextualSpacing w:val="0"/>
        <w:jc w:val="both"/>
        <w:rPr>
          <w:rFonts w:ascii="Times New Roman" w:hAnsi="Times New Roman"/>
          <w:bCs/>
          <w:iCs/>
          <w:sz w:val="24"/>
          <w:szCs w:val="24"/>
          <w:lang w:val="ro-RO" w:eastAsia="ro-RO"/>
        </w:rPr>
      </w:pPr>
      <w:r>
        <w:rPr>
          <w:rFonts w:ascii="Times New Roman" w:hAnsi="Times New Roman"/>
          <w:bCs/>
          <w:iCs/>
          <w:sz w:val="24"/>
          <w:szCs w:val="24"/>
          <w:lang w:val="ro-RO" w:eastAsia="ro-RO"/>
        </w:rPr>
        <w:t>d</w:t>
      </w:r>
      <w:r w:rsidR="00544235" w:rsidRPr="00866277">
        <w:rPr>
          <w:rFonts w:ascii="Times New Roman" w:hAnsi="Times New Roman"/>
          <w:bCs/>
          <w:iCs/>
          <w:sz w:val="24"/>
          <w:szCs w:val="24"/>
          <w:lang w:val="ro-RO" w:eastAsia="ro-RO"/>
        </w:rPr>
        <w:t>ezvoltarea spiritului de inițiativă;</w:t>
      </w:r>
    </w:p>
    <w:p w:rsidR="00544235" w:rsidRPr="00866277" w:rsidRDefault="00537BE6" w:rsidP="00C2236E">
      <w:pPr>
        <w:pStyle w:val="ListParagraph"/>
        <w:numPr>
          <w:ilvl w:val="0"/>
          <w:numId w:val="10"/>
        </w:numPr>
        <w:spacing w:after="0" w:line="240" w:lineRule="auto"/>
        <w:ind w:left="0" w:firstLine="720"/>
        <w:contextualSpacing w:val="0"/>
        <w:jc w:val="both"/>
        <w:rPr>
          <w:rFonts w:ascii="Times New Roman" w:hAnsi="Times New Roman"/>
          <w:bCs/>
          <w:iCs/>
          <w:sz w:val="24"/>
          <w:szCs w:val="24"/>
          <w:lang w:val="ro-RO" w:eastAsia="ro-RO"/>
        </w:rPr>
      </w:pPr>
      <w:r>
        <w:rPr>
          <w:rFonts w:ascii="Times New Roman" w:hAnsi="Times New Roman"/>
          <w:bCs/>
          <w:iCs/>
          <w:sz w:val="24"/>
          <w:szCs w:val="24"/>
          <w:lang w:val="ro-RO" w:eastAsia="ro-RO"/>
        </w:rPr>
        <w:t>d</w:t>
      </w:r>
      <w:r w:rsidR="00544235" w:rsidRPr="00866277">
        <w:rPr>
          <w:rFonts w:ascii="Times New Roman" w:hAnsi="Times New Roman"/>
          <w:bCs/>
          <w:iCs/>
          <w:sz w:val="24"/>
          <w:szCs w:val="24"/>
          <w:lang w:val="ro-RO" w:eastAsia="ro-RO"/>
        </w:rPr>
        <w:t>ezvoltarea creativității;</w:t>
      </w:r>
    </w:p>
    <w:p w:rsidR="00544235" w:rsidRPr="00866277" w:rsidRDefault="00537BE6" w:rsidP="00C2236E">
      <w:pPr>
        <w:pStyle w:val="ListParagraph"/>
        <w:numPr>
          <w:ilvl w:val="0"/>
          <w:numId w:val="10"/>
        </w:numPr>
        <w:spacing w:after="0" w:line="240" w:lineRule="auto"/>
        <w:ind w:left="0" w:firstLine="720"/>
        <w:contextualSpacing w:val="0"/>
        <w:jc w:val="both"/>
        <w:rPr>
          <w:rFonts w:ascii="Times New Roman" w:hAnsi="Times New Roman"/>
          <w:bCs/>
          <w:iCs/>
          <w:sz w:val="24"/>
          <w:szCs w:val="24"/>
          <w:lang w:val="ro-RO" w:eastAsia="ro-RO"/>
        </w:rPr>
      </w:pPr>
      <w:r>
        <w:rPr>
          <w:rFonts w:ascii="Times New Roman" w:hAnsi="Times New Roman"/>
          <w:bCs/>
          <w:iCs/>
          <w:sz w:val="24"/>
          <w:szCs w:val="24"/>
          <w:lang w:val="ro-RO" w:eastAsia="ro-RO"/>
        </w:rPr>
        <w:t>a</w:t>
      </w:r>
      <w:r w:rsidR="00544235" w:rsidRPr="00866277">
        <w:rPr>
          <w:rFonts w:ascii="Times New Roman" w:hAnsi="Times New Roman"/>
          <w:bCs/>
          <w:iCs/>
          <w:sz w:val="24"/>
          <w:szCs w:val="24"/>
          <w:lang w:val="ro-RO" w:eastAsia="ro-RO"/>
        </w:rPr>
        <w:t>sumarea de riscuri;</w:t>
      </w:r>
    </w:p>
    <w:p w:rsidR="00544235" w:rsidRPr="00866277" w:rsidRDefault="00537BE6" w:rsidP="00C2236E">
      <w:pPr>
        <w:pStyle w:val="ListParagraph"/>
        <w:numPr>
          <w:ilvl w:val="0"/>
          <w:numId w:val="10"/>
        </w:numPr>
        <w:spacing w:after="0" w:line="240" w:lineRule="auto"/>
        <w:ind w:left="0" w:firstLine="720"/>
        <w:contextualSpacing w:val="0"/>
        <w:jc w:val="both"/>
        <w:rPr>
          <w:rFonts w:ascii="Times New Roman" w:hAnsi="Times New Roman"/>
          <w:bCs/>
          <w:iCs/>
          <w:sz w:val="24"/>
          <w:szCs w:val="24"/>
          <w:lang w:val="ro-RO" w:eastAsia="ro-RO"/>
        </w:rPr>
      </w:pPr>
      <w:r>
        <w:rPr>
          <w:rFonts w:ascii="Times New Roman" w:hAnsi="Times New Roman"/>
          <w:bCs/>
          <w:iCs/>
          <w:sz w:val="24"/>
          <w:szCs w:val="24"/>
          <w:lang w:val="ro-RO" w:eastAsia="ro-RO"/>
        </w:rPr>
        <w:t>e</w:t>
      </w:r>
      <w:r w:rsidR="00544235" w:rsidRPr="00866277">
        <w:rPr>
          <w:rFonts w:ascii="Times New Roman" w:hAnsi="Times New Roman"/>
          <w:bCs/>
          <w:iCs/>
          <w:sz w:val="24"/>
          <w:szCs w:val="24"/>
          <w:lang w:val="ro-RO" w:eastAsia="ro-RO"/>
        </w:rPr>
        <w:t>ducația financiară;</w:t>
      </w:r>
    </w:p>
    <w:p w:rsidR="00544235" w:rsidRPr="00866277" w:rsidRDefault="00537BE6" w:rsidP="00C2236E">
      <w:pPr>
        <w:pStyle w:val="ListParagraph"/>
        <w:numPr>
          <w:ilvl w:val="0"/>
          <w:numId w:val="10"/>
        </w:numPr>
        <w:spacing w:after="0" w:line="240" w:lineRule="auto"/>
        <w:ind w:left="0" w:firstLine="720"/>
        <w:contextualSpacing w:val="0"/>
        <w:jc w:val="both"/>
        <w:rPr>
          <w:rFonts w:ascii="Times New Roman" w:hAnsi="Times New Roman"/>
          <w:bCs/>
          <w:iCs/>
          <w:sz w:val="24"/>
          <w:szCs w:val="24"/>
          <w:lang w:val="ro-RO" w:eastAsia="ro-RO"/>
        </w:rPr>
      </w:pPr>
      <w:r>
        <w:rPr>
          <w:rFonts w:ascii="Times New Roman" w:hAnsi="Times New Roman"/>
          <w:bCs/>
          <w:iCs/>
          <w:sz w:val="24"/>
          <w:szCs w:val="24"/>
          <w:lang w:val="ro-RO" w:eastAsia="ro-RO"/>
        </w:rPr>
        <w:t>l</w:t>
      </w:r>
      <w:r w:rsidR="00544235" w:rsidRPr="00866277">
        <w:rPr>
          <w:rFonts w:ascii="Times New Roman" w:hAnsi="Times New Roman"/>
          <w:bCs/>
          <w:iCs/>
          <w:sz w:val="24"/>
          <w:szCs w:val="24"/>
          <w:lang w:val="ro-RO" w:eastAsia="ro-RO"/>
        </w:rPr>
        <w:t>uarea deciziilor de natură economică;</w:t>
      </w:r>
    </w:p>
    <w:p w:rsidR="00544235" w:rsidRPr="00866277" w:rsidRDefault="00537BE6" w:rsidP="00C2236E">
      <w:pPr>
        <w:pStyle w:val="ListParagraph"/>
        <w:numPr>
          <w:ilvl w:val="0"/>
          <w:numId w:val="10"/>
        </w:numPr>
        <w:spacing w:after="0" w:line="240" w:lineRule="auto"/>
        <w:ind w:left="0" w:firstLine="720"/>
        <w:contextualSpacing w:val="0"/>
        <w:jc w:val="both"/>
        <w:rPr>
          <w:rFonts w:ascii="Times New Roman" w:hAnsi="Times New Roman"/>
          <w:bCs/>
          <w:iCs/>
          <w:sz w:val="24"/>
          <w:szCs w:val="24"/>
          <w:lang w:val="ro-RO" w:eastAsia="ro-RO"/>
        </w:rPr>
      </w:pPr>
      <w:r>
        <w:rPr>
          <w:rFonts w:ascii="Times New Roman" w:hAnsi="Times New Roman"/>
          <w:bCs/>
          <w:iCs/>
          <w:sz w:val="24"/>
          <w:szCs w:val="24"/>
          <w:lang w:val="ro-RO" w:eastAsia="ro-RO"/>
        </w:rPr>
        <w:t>î</w:t>
      </w:r>
      <w:r w:rsidR="00544235" w:rsidRPr="00866277">
        <w:rPr>
          <w:rFonts w:ascii="Times New Roman" w:hAnsi="Times New Roman"/>
          <w:bCs/>
          <w:iCs/>
          <w:sz w:val="24"/>
          <w:szCs w:val="24"/>
          <w:lang w:val="ro-RO" w:eastAsia="ro-RO"/>
        </w:rPr>
        <w:t>nțelegerea rolului economiei în societate;</w:t>
      </w:r>
    </w:p>
    <w:p w:rsidR="00544235" w:rsidRPr="00866277" w:rsidRDefault="00537BE6" w:rsidP="00C2236E">
      <w:pPr>
        <w:pStyle w:val="ListParagraph"/>
        <w:numPr>
          <w:ilvl w:val="0"/>
          <w:numId w:val="10"/>
        </w:numPr>
        <w:spacing w:after="0" w:line="240" w:lineRule="auto"/>
        <w:ind w:left="0" w:firstLine="720"/>
        <w:contextualSpacing w:val="0"/>
        <w:jc w:val="both"/>
        <w:rPr>
          <w:rFonts w:ascii="Times New Roman" w:hAnsi="Times New Roman"/>
          <w:bCs/>
          <w:iCs/>
          <w:sz w:val="24"/>
          <w:szCs w:val="24"/>
          <w:lang w:val="ro-RO" w:eastAsia="ro-RO"/>
        </w:rPr>
      </w:pPr>
      <w:r>
        <w:rPr>
          <w:rFonts w:ascii="Times New Roman" w:hAnsi="Times New Roman"/>
          <w:bCs/>
          <w:iCs/>
          <w:sz w:val="24"/>
          <w:szCs w:val="24"/>
          <w:lang w:val="ro-RO" w:eastAsia="ro-RO"/>
        </w:rPr>
        <w:t>u</w:t>
      </w:r>
      <w:r w:rsidR="00544235" w:rsidRPr="00866277">
        <w:rPr>
          <w:rFonts w:ascii="Times New Roman" w:hAnsi="Times New Roman"/>
          <w:bCs/>
          <w:iCs/>
          <w:sz w:val="24"/>
          <w:szCs w:val="24"/>
          <w:lang w:val="ro-RO" w:eastAsia="ro-RO"/>
        </w:rPr>
        <w:t>tilizarea competențelor antreprenoriale pentru a face opțiuni în carieră.</w:t>
      </w:r>
    </w:p>
    <w:p w:rsidR="00544235" w:rsidRPr="00866277" w:rsidRDefault="00544235" w:rsidP="00C2236E">
      <w:pPr>
        <w:ind w:firstLine="720"/>
        <w:jc w:val="both"/>
        <w:rPr>
          <w:i/>
          <w:lang w:val="ro-RO"/>
        </w:rPr>
      </w:pPr>
      <w:r w:rsidRPr="00866277">
        <w:rPr>
          <w:lang w:val="ro-RO"/>
        </w:rPr>
        <w:t xml:space="preserve">Astfel, în lista disciplinelor opționale recomandate pentru clasele I-XII în Aria curriculară </w:t>
      </w:r>
      <w:r w:rsidRPr="00866277">
        <w:rPr>
          <w:i/>
          <w:lang w:val="ro-RO"/>
        </w:rPr>
        <w:t xml:space="preserve">Educație </w:t>
      </w:r>
      <w:proofErr w:type="spellStart"/>
      <w:r w:rsidRPr="00866277">
        <w:rPr>
          <w:i/>
          <w:lang w:val="ro-RO"/>
        </w:rPr>
        <w:t>socio</w:t>
      </w:r>
      <w:proofErr w:type="spellEnd"/>
      <w:r w:rsidRPr="00866277">
        <w:rPr>
          <w:i/>
          <w:lang w:val="ro-RO"/>
        </w:rPr>
        <w:t>-umanistică</w:t>
      </w:r>
      <w:r w:rsidRPr="00866277">
        <w:rPr>
          <w:lang w:val="ro-RO"/>
        </w:rPr>
        <w:t xml:space="preserve">, a fost inclusă disciplina </w:t>
      </w:r>
      <w:r w:rsidRPr="00866277">
        <w:rPr>
          <w:b/>
          <w:i/>
          <w:lang w:val="ro-RO"/>
        </w:rPr>
        <w:t>Educație economică și antreprenorială.</w:t>
      </w:r>
      <w:r w:rsidRPr="00866277">
        <w:rPr>
          <w:i/>
          <w:lang w:val="ro-RO"/>
        </w:rPr>
        <w:t xml:space="preserve"> </w:t>
      </w:r>
      <w:r w:rsidRPr="00866277">
        <w:rPr>
          <w:lang w:val="ro-RO"/>
        </w:rPr>
        <w:t xml:space="preserve">De asemenea, în lista disciplinelor opționale recomandate pentru clasele V-IX se regăsește și </w:t>
      </w:r>
      <w:r w:rsidRPr="00866277">
        <w:rPr>
          <w:b/>
          <w:i/>
          <w:lang w:val="ro-RO"/>
        </w:rPr>
        <w:t>Educația socială și financiară</w:t>
      </w:r>
      <w:r w:rsidRPr="00866277">
        <w:rPr>
          <w:lang w:val="ro-RO"/>
        </w:rPr>
        <w:t>,</w:t>
      </w:r>
      <w:r w:rsidR="008A735E">
        <w:rPr>
          <w:rFonts w:eastAsia="Times New Roman"/>
          <w:lang w:val="ro-RO" w:eastAsia="ru-RU" w:bidi="en-US"/>
        </w:rPr>
        <w:t xml:space="preserve"> în care </w:t>
      </w:r>
      <w:r w:rsidRPr="00866277">
        <w:rPr>
          <w:rFonts w:eastAsia="Times New Roman"/>
          <w:lang w:val="ro-RO" w:eastAsia="ru-RU" w:bidi="en-US"/>
        </w:rPr>
        <w:t>se</w:t>
      </w:r>
      <w:r w:rsidR="008A735E">
        <w:rPr>
          <w:rFonts w:eastAsia="Times New Roman"/>
          <w:lang w:val="ro-RO" w:eastAsia="ru-RU" w:bidi="en-US"/>
        </w:rPr>
        <w:t xml:space="preserve"> </w:t>
      </w:r>
      <w:r w:rsidRPr="00866277">
        <w:rPr>
          <w:rFonts w:eastAsia="Times New Roman"/>
          <w:lang w:val="ro-RO" w:eastAsia="ru-RU" w:bidi="en-US"/>
        </w:rPr>
        <w:t xml:space="preserve">conține următoarea tematică: </w:t>
      </w:r>
      <w:r w:rsidR="008A735E">
        <w:rPr>
          <w:rFonts w:eastAsia="Times New Roman"/>
          <w:i/>
          <w:lang w:val="ro-RO" w:eastAsia="ru-RU" w:bidi="en-US"/>
        </w:rPr>
        <w:t xml:space="preserve">Etica în afaceri, </w:t>
      </w:r>
      <w:proofErr w:type="spellStart"/>
      <w:r w:rsidRPr="00866277">
        <w:rPr>
          <w:rFonts w:eastAsia="Times New Roman"/>
          <w:b/>
          <w:i/>
          <w:lang w:val="ro-RO" w:eastAsia="ru-RU" w:bidi="en-US"/>
        </w:rPr>
        <w:t>Protecţia</w:t>
      </w:r>
      <w:proofErr w:type="spellEnd"/>
      <w:r w:rsidRPr="00866277">
        <w:rPr>
          <w:rFonts w:eastAsia="Times New Roman"/>
          <w:b/>
          <w:i/>
          <w:lang w:val="ro-RO" w:eastAsia="ru-RU" w:bidi="en-US"/>
        </w:rPr>
        <w:t xml:space="preserve"> consumatorului</w:t>
      </w:r>
      <w:r w:rsidRPr="00866277">
        <w:rPr>
          <w:rFonts w:eastAsia="Times New Roman"/>
          <w:i/>
          <w:lang w:val="ro-RO" w:eastAsia="ru-RU" w:bidi="en-US"/>
        </w:rPr>
        <w:t>, Instruire antreprenorială, ABC-</w:t>
      </w:r>
      <w:proofErr w:type="spellStart"/>
      <w:r w:rsidRPr="00866277">
        <w:rPr>
          <w:rFonts w:eastAsia="Times New Roman"/>
          <w:i/>
          <w:lang w:val="ro-RO" w:eastAsia="ru-RU" w:bidi="en-US"/>
        </w:rPr>
        <w:t>ul</w:t>
      </w:r>
      <w:proofErr w:type="spellEnd"/>
      <w:r w:rsidRPr="00866277">
        <w:rPr>
          <w:rFonts w:eastAsia="Times New Roman"/>
          <w:i/>
          <w:lang w:val="ro-RO" w:eastAsia="ru-RU" w:bidi="en-US"/>
        </w:rPr>
        <w:t xml:space="preserve"> economic, Finanțele mele, Eu </w:t>
      </w:r>
      <w:proofErr w:type="spellStart"/>
      <w:r w:rsidRPr="00866277">
        <w:rPr>
          <w:rFonts w:eastAsia="Times New Roman"/>
          <w:i/>
          <w:lang w:val="ro-RO" w:eastAsia="ru-RU" w:bidi="en-US"/>
        </w:rPr>
        <w:t>şi</w:t>
      </w:r>
      <w:proofErr w:type="spellEnd"/>
      <w:r w:rsidRPr="00866277">
        <w:rPr>
          <w:rFonts w:eastAsia="Times New Roman"/>
          <w:i/>
          <w:lang w:val="ro-RO" w:eastAsia="ru-RU" w:bidi="en-US"/>
        </w:rPr>
        <w:t xml:space="preserve"> economia, </w:t>
      </w:r>
      <w:proofErr w:type="spellStart"/>
      <w:r w:rsidRPr="00866277">
        <w:rPr>
          <w:rFonts w:eastAsia="Times New Roman"/>
          <w:i/>
          <w:lang w:val="ro-RO" w:eastAsia="ru-RU" w:bidi="en-US"/>
        </w:rPr>
        <w:t>Minifirma</w:t>
      </w:r>
      <w:proofErr w:type="spellEnd"/>
      <w:r w:rsidRPr="00866277">
        <w:rPr>
          <w:rFonts w:eastAsia="Times New Roman"/>
          <w:i/>
          <w:lang w:val="ro-RO" w:eastAsia="ru-RU" w:bidi="en-US"/>
        </w:rPr>
        <w:t xml:space="preserve"> </w:t>
      </w:r>
      <w:proofErr w:type="spellStart"/>
      <w:r w:rsidRPr="00866277">
        <w:rPr>
          <w:rFonts w:eastAsia="Times New Roman"/>
          <w:i/>
          <w:lang w:val="ro-RO" w:eastAsia="ru-RU" w:bidi="en-US"/>
        </w:rPr>
        <w:t>şcolară</w:t>
      </w:r>
      <w:proofErr w:type="spellEnd"/>
      <w:r w:rsidRPr="00866277">
        <w:rPr>
          <w:rFonts w:eastAsia="Times New Roman"/>
          <w:i/>
          <w:lang w:val="ro-RO" w:eastAsia="ru-RU" w:bidi="en-US"/>
        </w:rPr>
        <w:t xml:space="preserve">, Spirit întreprinzător, </w:t>
      </w:r>
      <w:proofErr w:type="spellStart"/>
      <w:r w:rsidRPr="00866277">
        <w:rPr>
          <w:rFonts w:eastAsia="Times New Roman"/>
          <w:i/>
          <w:lang w:val="ro-RO" w:eastAsia="ru-RU" w:bidi="en-US"/>
        </w:rPr>
        <w:t>Educaţia</w:t>
      </w:r>
      <w:proofErr w:type="spellEnd"/>
      <w:r w:rsidRPr="00866277">
        <w:rPr>
          <w:rFonts w:eastAsia="Times New Roman"/>
          <w:i/>
          <w:lang w:val="ro-RO" w:eastAsia="ru-RU" w:bidi="en-US"/>
        </w:rPr>
        <w:t xml:space="preserve"> economică, Economia aplicată, Cheia succesului </w:t>
      </w:r>
      <w:proofErr w:type="spellStart"/>
      <w:r w:rsidRPr="00866277">
        <w:rPr>
          <w:rFonts w:eastAsia="Times New Roman"/>
          <w:i/>
          <w:lang w:val="ro-RO" w:eastAsia="ru-RU" w:bidi="en-US"/>
        </w:rPr>
        <w:t>ş.a</w:t>
      </w:r>
      <w:proofErr w:type="spellEnd"/>
      <w:r w:rsidRPr="00866277">
        <w:rPr>
          <w:rFonts w:eastAsia="Times New Roman"/>
          <w:i/>
          <w:lang w:val="ro-RO" w:eastAsia="ru-RU" w:bidi="en-US"/>
        </w:rPr>
        <w:t xml:space="preserve">., realizate în baza programelor Junior </w:t>
      </w:r>
      <w:proofErr w:type="spellStart"/>
      <w:r w:rsidRPr="00866277">
        <w:rPr>
          <w:rFonts w:eastAsia="Times New Roman"/>
          <w:i/>
          <w:lang w:val="ro-RO" w:eastAsia="ru-RU" w:bidi="en-US"/>
        </w:rPr>
        <w:t>Achievement</w:t>
      </w:r>
      <w:proofErr w:type="spellEnd"/>
      <w:r w:rsidRPr="00866277">
        <w:rPr>
          <w:rFonts w:eastAsia="Times New Roman"/>
          <w:i/>
          <w:lang w:val="ro-RO" w:eastAsia="ru-RU" w:bidi="en-US"/>
        </w:rPr>
        <w:t xml:space="preserve"> (JA Moldova</w:t>
      </w:r>
      <w:r w:rsidRPr="00866277">
        <w:rPr>
          <w:rFonts w:eastAsia="Times New Roman"/>
          <w:lang w:val="ro-RO" w:eastAsia="ru-RU" w:bidi="en-US"/>
        </w:rPr>
        <w:t>)</w:t>
      </w:r>
      <w:r w:rsidRPr="00866277">
        <w:rPr>
          <w:rFonts w:eastAsia="Times New Roman"/>
          <w:i/>
          <w:lang w:val="ro-RO" w:eastAsia="ru-RU" w:bidi="en-US"/>
        </w:rPr>
        <w:t>.</w:t>
      </w:r>
    </w:p>
    <w:p w:rsidR="00544235" w:rsidRPr="00866277" w:rsidRDefault="00544235" w:rsidP="00C2236E">
      <w:pPr>
        <w:ind w:firstLine="720"/>
        <w:jc w:val="both"/>
        <w:rPr>
          <w:lang w:val="ro-RO"/>
        </w:rPr>
      </w:pPr>
      <w:r w:rsidRPr="00866277">
        <w:rPr>
          <w:lang w:val="ro-RO"/>
        </w:rPr>
        <w:t xml:space="preserve"> Totodată, în instituțiile de învățământ primar și secundar general, se realizează activități extrașcolare la nivelul clasei, instituției, comunității (activități de orientare profesională în cadrul excursiilor, întâlnirilor cu specialiști în drept legal, agenți economici etc.).</w:t>
      </w:r>
    </w:p>
    <w:p w:rsidR="00544235" w:rsidRPr="00866277" w:rsidRDefault="00544235" w:rsidP="00C2236E">
      <w:pPr>
        <w:ind w:firstLine="720"/>
        <w:jc w:val="both"/>
        <w:rPr>
          <w:rFonts w:eastAsia="Times New Roman"/>
          <w:b/>
          <w:lang w:val="ro-RO" w:eastAsia="ro-RO"/>
        </w:rPr>
      </w:pPr>
      <w:r w:rsidRPr="00866277">
        <w:rPr>
          <w:rFonts w:eastAsia="Times New Roman"/>
          <w:lang w:val="ro-RO" w:eastAsia="ru-RU"/>
        </w:rPr>
        <w:t xml:space="preserve">De asemenea, în instituțiile de învățământ primar și secundar general, anual se desfășoară </w:t>
      </w:r>
      <w:r w:rsidRPr="00866277">
        <w:rPr>
          <w:rFonts w:eastAsia="Times New Roman"/>
          <w:i/>
          <w:lang w:val="ro-RO" w:eastAsia="ru-RU"/>
        </w:rPr>
        <w:t xml:space="preserve">Săptămâna </w:t>
      </w:r>
      <w:proofErr w:type="spellStart"/>
      <w:r w:rsidRPr="00866277">
        <w:rPr>
          <w:rFonts w:eastAsia="Times New Roman"/>
          <w:i/>
          <w:lang w:val="ro-RO" w:eastAsia="ru-RU"/>
        </w:rPr>
        <w:t>Internaţională</w:t>
      </w:r>
      <w:proofErr w:type="spellEnd"/>
      <w:r w:rsidRPr="00866277">
        <w:rPr>
          <w:rFonts w:eastAsia="Times New Roman"/>
          <w:i/>
          <w:lang w:val="ro-RO" w:eastAsia="ru-RU"/>
        </w:rPr>
        <w:t xml:space="preserve"> a </w:t>
      </w:r>
      <w:proofErr w:type="spellStart"/>
      <w:r w:rsidRPr="00866277">
        <w:rPr>
          <w:rFonts w:eastAsia="Times New Roman"/>
          <w:i/>
          <w:lang w:val="ro-RO" w:eastAsia="ru-RU"/>
        </w:rPr>
        <w:t>Educaţiei</w:t>
      </w:r>
      <w:proofErr w:type="spellEnd"/>
      <w:r w:rsidRPr="00866277">
        <w:rPr>
          <w:rFonts w:eastAsia="Times New Roman"/>
          <w:i/>
          <w:lang w:val="ro-RO" w:eastAsia="ru-RU"/>
        </w:rPr>
        <w:t xml:space="preserve"> Financiare</w:t>
      </w:r>
      <w:r w:rsidRPr="00866277">
        <w:rPr>
          <w:rFonts w:eastAsia="Times New Roman"/>
          <w:lang w:val="ro-RO" w:eastAsia="ru-RU"/>
        </w:rPr>
        <w:t xml:space="preserve">, care include diverse activități orientate spre promovarea educației financiare, incluzând subiecte </w:t>
      </w:r>
      <w:r w:rsidRPr="00866277">
        <w:rPr>
          <w:rFonts w:eastAsia="Times New Roman"/>
          <w:b/>
          <w:lang w:val="ro-RO" w:eastAsia="ro-RO"/>
        </w:rPr>
        <w:t>privind drepturile consumatorului.</w:t>
      </w:r>
    </w:p>
    <w:p w:rsidR="00544235" w:rsidRPr="00866277" w:rsidRDefault="00544235" w:rsidP="00C2236E">
      <w:pPr>
        <w:ind w:firstLine="720"/>
        <w:jc w:val="both"/>
        <w:rPr>
          <w:rFonts w:eastAsia="Times New Roman"/>
          <w:b/>
          <w:u w:val="single"/>
          <w:lang w:val="ro-RO" w:eastAsia="ro-RO"/>
        </w:rPr>
      </w:pPr>
      <w:r w:rsidRPr="00866277">
        <w:rPr>
          <w:rFonts w:eastAsia="Times New Roman"/>
          <w:b/>
          <w:u w:val="single"/>
          <w:lang w:val="ro-RO" w:eastAsia="ro-RO"/>
        </w:rPr>
        <w:t>2) Învățământul profesional tehnic</w:t>
      </w:r>
    </w:p>
    <w:p w:rsidR="00544235" w:rsidRPr="00866277" w:rsidRDefault="00544235" w:rsidP="00C2236E">
      <w:pPr>
        <w:ind w:firstLine="720"/>
        <w:jc w:val="both"/>
        <w:rPr>
          <w:rFonts w:eastAsia="Times New Roman"/>
          <w:lang w:val="ro-RO" w:eastAsia="ru-RU"/>
        </w:rPr>
      </w:pPr>
      <w:r w:rsidRPr="008A735E">
        <w:rPr>
          <w:rFonts w:eastAsia="Times New Roman"/>
          <w:lang w:val="ro-RO" w:eastAsia="ru-RU"/>
        </w:rPr>
        <w:t xml:space="preserve">În toate </w:t>
      </w:r>
      <w:proofErr w:type="spellStart"/>
      <w:r w:rsidRPr="008A735E">
        <w:rPr>
          <w:rFonts w:eastAsia="Times New Roman"/>
          <w:lang w:val="ro-RO" w:eastAsia="ru-RU"/>
        </w:rPr>
        <w:t>instituţiile</w:t>
      </w:r>
      <w:proofErr w:type="spellEnd"/>
      <w:r w:rsidRPr="008A735E">
        <w:rPr>
          <w:rFonts w:eastAsia="Times New Roman"/>
          <w:lang w:val="ro-RO" w:eastAsia="ru-RU"/>
        </w:rPr>
        <w:t xml:space="preserve"> de </w:t>
      </w:r>
      <w:proofErr w:type="spellStart"/>
      <w:r w:rsidRPr="008A735E">
        <w:rPr>
          <w:rFonts w:eastAsia="Times New Roman"/>
          <w:u w:val="single"/>
          <w:lang w:val="ro-RO" w:eastAsia="ru-RU"/>
        </w:rPr>
        <w:t>învăţămînt</w:t>
      </w:r>
      <w:proofErr w:type="spellEnd"/>
      <w:r w:rsidRPr="008A735E">
        <w:rPr>
          <w:rFonts w:eastAsia="Times New Roman"/>
          <w:u w:val="single"/>
          <w:lang w:val="ro-RO" w:eastAsia="ru-RU"/>
        </w:rPr>
        <w:t xml:space="preserve"> profesional tehnic secundar</w:t>
      </w:r>
      <w:r w:rsidRPr="00866277">
        <w:rPr>
          <w:rFonts w:eastAsia="Times New Roman"/>
          <w:lang w:val="ro-RO" w:eastAsia="ru-RU"/>
        </w:rPr>
        <w:t xml:space="preserve">, în grupele profesionale </w:t>
      </w:r>
      <w:proofErr w:type="spellStart"/>
      <w:r w:rsidRPr="00866277">
        <w:rPr>
          <w:rFonts w:eastAsia="Times New Roman"/>
          <w:lang w:val="ro-RO" w:eastAsia="ru-RU"/>
        </w:rPr>
        <w:t>şi</w:t>
      </w:r>
      <w:proofErr w:type="spellEnd"/>
      <w:r w:rsidRPr="00866277">
        <w:rPr>
          <w:rFonts w:eastAsia="Times New Roman"/>
          <w:lang w:val="ro-RO" w:eastAsia="ru-RU"/>
        </w:rPr>
        <w:t xml:space="preserve"> de meserii, implementarea programelor </w:t>
      </w:r>
      <w:proofErr w:type="spellStart"/>
      <w:r w:rsidRPr="00866277">
        <w:rPr>
          <w:rFonts w:eastAsia="Times New Roman"/>
          <w:lang w:val="ro-RO" w:eastAsia="ru-RU"/>
        </w:rPr>
        <w:t>educaţionale</w:t>
      </w:r>
      <w:proofErr w:type="spellEnd"/>
      <w:r w:rsidRPr="00866277">
        <w:rPr>
          <w:rFonts w:eastAsia="Times New Roman"/>
          <w:lang w:val="ro-RO" w:eastAsia="ru-RU"/>
        </w:rPr>
        <w:t xml:space="preserve"> în materia drepturilor consumatorului este asigurată prin disciplina</w:t>
      </w:r>
      <w:r w:rsidRPr="00866277">
        <w:rPr>
          <w:lang w:val="ro-RO"/>
        </w:rPr>
        <w:t xml:space="preserve"> </w:t>
      </w:r>
      <w:r w:rsidRPr="00866277">
        <w:rPr>
          <w:rFonts w:eastAsia="Times New Roman"/>
          <w:lang w:val="ro-RO" w:eastAsia="ru-RU"/>
        </w:rPr>
        <w:t xml:space="preserve">profesională </w:t>
      </w:r>
      <w:r w:rsidRPr="00866277">
        <w:rPr>
          <w:rFonts w:eastAsia="Times New Roman"/>
          <w:i/>
          <w:lang w:val="ro-RO" w:eastAsia="ru-RU"/>
        </w:rPr>
        <w:t xml:space="preserve">Etica profesională </w:t>
      </w:r>
      <w:proofErr w:type="spellStart"/>
      <w:r w:rsidRPr="00866277">
        <w:rPr>
          <w:rFonts w:eastAsia="Times New Roman"/>
          <w:lang w:val="ro-RO" w:eastAsia="ru-RU"/>
        </w:rPr>
        <w:t>şi</w:t>
      </w:r>
      <w:proofErr w:type="spellEnd"/>
      <w:r w:rsidRPr="00866277">
        <w:rPr>
          <w:rFonts w:eastAsia="Times New Roman"/>
          <w:lang w:val="ro-RO" w:eastAsia="ru-RU"/>
        </w:rPr>
        <w:t xml:space="preserve"> disciplina de cultură generală </w:t>
      </w:r>
      <w:r w:rsidRPr="00866277">
        <w:rPr>
          <w:rFonts w:eastAsia="Times New Roman"/>
          <w:i/>
          <w:lang w:val="ro-RO" w:eastAsia="ru-RU"/>
        </w:rPr>
        <w:t xml:space="preserve">Bazele </w:t>
      </w:r>
      <w:proofErr w:type="spellStart"/>
      <w:r w:rsidRPr="00866277">
        <w:rPr>
          <w:rFonts w:eastAsia="Times New Roman"/>
          <w:i/>
          <w:lang w:val="ro-RO" w:eastAsia="ru-RU"/>
        </w:rPr>
        <w:t>antreprenoriatului</w:t>
      </w:r>
      <w:proofErr w:type="spellEnd"/>
      <w:r w:rsidRPr="00866277">
        <w:rPr>
          <w:rFonts w:eastAsia="Times New Roman"/>
          <w:lang w:val="ro-RO" w:eastAsia="ru-RU"/>
        </w:rPr>
        <w:t xml:space="preserve"> </w:t>
      </w:r>
      <w:proofErr w:type="spellStart"/>
      <w:r w:rsidRPr="00866277">
        <w:rPr>
          <w:rFonts w:eastAsia="Times New Roman"/>
          <w:lang w:val="ro-RO" w:eastAsia="ru-RU"/>
        </w:rPr>
        <w:t>şi</w:t>
      </w:r>
      <w:proofErr w:type="spellEnd"/>
      <w:r w:rsidRPr="00866277">
        <w:rPr>
          <w:rFonts w:eastAsia="Times New Roman"/>
          <w:lang w:val="ro-RO" w:eastAsia="ru-RU"/>
        </w:rPr>
        <w:t xml:space="preserve"> </w:t>
      </w:r>
      <w:proofErr w:type="spellStart"/>
      <w:r w:rsidRPr="00866277">
        <w:rPr>
          <w:rFonts w:eastAsia="Times New Roman"/>
          <w:lang w:val="ro-RO" w:eastAsia="ru-RU"/>
        </w:rPr>
        <w:t>tangenţial</w:t>
      </w:r>
      <w:proofErr w:type="spellEnd"/>
      <w:r w:rsidRPr="00866277">
        <w:rPr>
          <w:rFonts w:eastAsia="Times New Roman"/>
          <w:lang w:val="ro-RO" w:eastAsia="ru-RU"/>
        </w:rPr>
        <w:t xml:space="preserve"> la orele de pregătire </w:t>
      </w:r>
      <w:proofErr w:type="spellStart"/>
      <w:r w:rsidRPr="00866277">
        <w:rPr>
          <w:rFonts w:eastAsia="Times New Roman"/>
          <w:lang w:val="ro-RO" w:eastAsia="ru-RU"/>
        </w:rPr>
        <w:t>opţionale</w:t>
      </w:r>
      <w:proofErr w:type="spellEnd"/>
      <w:r w:rsidR="00FF4AB8" w:rsidRPr="00866277">
        <w:rPr>
          <w:rFonts w:eastAsia="Times New Roman"/>
          <w:lang w:val="ro-RO" w:eastAsia="ru-RU"/>
        </w:rPr>
        <w:t>:</w:t>
      </w:r>
      <w:r w:rsidRPr="00866277">
        <w:rPr>
          <w:rFonts w:eastAsia="Times New Roman"/>
          <w:lang w:val="ro-RO" w:eastAsia="ru-RU"/>
        </w:rPr>
        <w:t xml:space="preserve"> </w:t>
      </w:r>
      <w:r w:rsidR="00AF0838" w:rsidRPr="00866277">
        <w:rPr>
          <w:rFonts w:eastAsia="Times New Roman"/>
          <w:lang w:val="ro-RO" w:eastAsia="ru-RU"/>
        </w:rPr>
        <w:t>Codul muncii</w:t>
      </w:r>
      <w:r w:rsidRPr="00866277">
        <w:rPr>
          <w:rFonts w:eastAsia="Times New Roman"/>
          <w:lang w:val="ro-RO" w:eastAsia="ru-RU"/>
        </w:rPr>
        <w:t xml:space="preserve"> </w:t>
      </w:r>
      <w:proofErr w:type="spellStart"/>
      <w:r w:rsidRPr="00866277">
        <w:rPr>
          <w:rFonts w:eastAsia="Times New Roman"/>
          <w:lang w:val="ro-RO" w:eastAsia="ru-RU"/>
        </w:rPr>
        <w:t>şi</w:t>
      </w:r>
      <w:proofErr w:type="spellEnd"/>
      <w:r w:rsidRPr="00866277">
        <w:rPr>
          <w:rFonts w:eastAsia="Times New Roman"/>
          <w:lang w:val="ro-RO" w:eastAsia="ru-RU"/>
        </w:rPr>
        <w:t xml:space="preserve"> </w:t>
      </w:r>
      <w:proofErr w:type="spellStart"/>
      <w:r w:rsidRPr="00866277">
        <w:rPr>
          <w:rFonts w:eastAsia="Times New Roman"/>
          <w:lang w:val="ro-RO" w:eastAsia="ru-RU"/>
        </w:rPr>
        <w:t>Viaţa</w:t>
      </w:r>
      <w:proofErr w:type="spellEnd"/>
      <w:r w:rsidRPr="00866277">
        <w:rPr>
          <w:rFonts w:eastAsia="Times New Roman"/>
          <w:lang w:val="ro-RO" w:eastAsia="ru-RU"/>
        </w:rPr>
        <w:t xml:space="preserve"> socială </w:t>
      </w:r>
      <w:proofErr w:type="spellStart"/>
      <w:r w:rsidRPr="00866277">
        <w:rPr>
          <w:rFonts w:eastAsia="Times New Roman"/>
          <w:lang w:val="ro-RO" w:eastAsia="ru-RU"/>
        </w:rPr>
        <w:t>şi</w:t>
      </w:r>
      <w:proofErr w:type="spellEnd"/>
      <w:r w:rsidRPr="00866277">
        <w:rPr>
          <w:rFonts w:eastAsia="Times New Roman"/>
          <w:lang w:val="ro-RO" w:eastAsia="ru-RU"/>
        </w:rPr>
        <w:t xml:space="preserve"> profesională. În anul 2019 la disciplinele </w:t>
      </w:r>
      <w:proofErr w:type="spellStart"/>
      <w:r w:rsidRPr="00866277">
        <w:rPr>
          <w:rFonts w:eastAsia="Times New Roman"/>
          <w:lang w:val="ro-RO" w:eastAsia="ru-RU"/>
        </w:rPr>
        <w:t>menţionate</w:t>
      </w:r>
      <w:proofErr w:type="spellEnd"/>
      <w:r w:rsidRPr="00866277">
        <w:rPr>
          <w:rFonts w:eastAsia="Times New Roman"/>
          <w:lang w:val="ro-RO" w:eastAsia="ru-RU"/>
        </w:rPr>
        <w:t xml:space="preserve"> au fost </w:t>
      </w:r>
      <w:proofErr w:type="spellStart"/>
      <w:r w:rsidRPr="00866277">
        <w:rPr>
          <w:rFonts w:eastAsia="Times New Roman"/>
          <w:lang w:val="ro-RO" w:eastAsia="ru-RU"/>
        </w:rPr>
        <w:t>instruiţi</w:t>
      </w:r>
      <w:proofErr w:type="spellEnd"/>
      <w:r w:rsidRPr="00866277">
        <w:rPr>
          <w:rFonts w:eastAsia="Times New Roman"/>
          <w:lang w:val="ro-RO" w:eastAsia="ru-RU"/>
        </w:rPr>
        <w:t xml:space="preserve"> cca 7,0, mii de elevi.</w:t>
      </w:r>
    </w:p>
    <w:p w:rsidR="00544235" w:rsidRPr="00866277" w:rsidRDefault="00544235" w:rsidP="00C2236E">
      <w:pPr>
        <w:ind w:firstLine="720"/>
        <w:jc w:val="both"/>
        <w:rPr>
          <w:rFonts w:eastAsia="Times New Roman"/>
          <w:lang w:val="ro-RO" w:eastAsia="ru-RU"/>
        </w:rPr>
      </w:pPr>
      <w:r w:rsidRPr="00866277">
        <w:rPr>
          <w:rFonts w:eastAsia="Times New Roman"/>
          <w:lang w:val="ro-RO" w:eastAsia="ru-RU"/>
        </w:rPr>
        <w:t xml:space="preserve">În </w:t>
      </w:r>
      <w:proofErr w:type="spellStart"/>
      <w:r w:rsidRPr="00866277">
        <w:rPr>
          <w:rFonts w:eastAsia="Times New Roman"/>
          <w:lang w:val="ro-RO" w:eastAsia="ru-RU"/>
        </w:rPr>
        <w:t>învăţămîntul</w:t>
      </w:r>
      <w:proofErr w:type="spellEnd"/>
      <w:r w:rsidRPr="00866277">
        <w:rPr>
          <w:rFonts w:eastAsia="Times New Roman"/>
          <w:lang w:val="ro-RO" w:eastAsia="ru-RU"/>
        </w:rPr>
        <w:t xml:space="preserve"> profesional tehnic </w:t>
      </w:r>
      <w:proofErr w:type="spellStart"/>
      <w:r w:rsidRPr="00866277">
        <w:rPr>
          <w:rFonts w:eastAsia="Times New Roman"/>
          <w:lang w:val="ro-RO" w:eastAsia="ru-RU"/>
        </w:rPr>
        <w:t>postsecundar</w:t>
      </w:r>
      <w:proofErr w:type="spellEnd"/>
      <w:r w:rsidRPr="00866277">
        <w:rPr>
          <w:rFonts w:eastAsia="Times New Roman"/>
          <w:lang w:val="ro-RO" w:eastAsia="ru-RU"/>
        </w:rPr>
        <w:t xml:space="preserve"> programele de studii în domeniul </w:t>
      </w:r>
      <w:proofErr w:type="spellStart"/>
      <w:r w:rsidRPr="00866277">
        <w:rPr>
          <w:rFonts w:eastAsia="Times New Roman"/>
          <w:lang w:val="ro-RO" w:eastAsia="ru-RU"/>
        </w:rPr>
        <w:t>protecţiei</w:t>
      </w:r>
      <w:proofErr w:type="spellEnd"/>
      <w:r w:rsidRPr="00866277">
        <w:rPr>
          <w:rFonts w:eastAsia="Times New Roman"/>
          <w:lang w:val="ro-RO" w:eastAsia="ru-RU"/>
        </w:rPr>
        <w:t xml:space="preserve"> consumatorilor sunt asigurate la Colegiul </w:t>
      </w:r>
      <w:proofErr w:type="spellStart"/>
      <w:r w:rsidRPr="00866277">
        <w:rPr>
          <w:rFonts w:eastAsia="Times New Roman"/>
          <w:lang w:val="ro-RO" w:eastAsia="ru-RU"/>
        </w:rPr>
        <w:t>Naţional</w:t>
      </w:r>
      <w:proofErr w:type="spellEnd"/>
      <w:r w:rsidRPr="00866277">
        <w:rPr>
          <w:rFonts w:eastAsia="Times New Roman"/>
          <w:lang w:val="ro-RO" w:eastAsia="ru-RU"/>
        </w:rPr>
        <w:t xml:space="preserve"> de </w:t>
      </w:r>
      <w:proofErr w:type="spellStart"/>
      <w:r w:rsidRPr="00866277">
        <w:rPr>
          <w:rFonts w:eastAsia="Times New Roman"/>
          <w:lang w:val="ro-RO" w:eastAsia="ru-RU"/>
        </w:rPr>
        <w:t>Comerţ</w:t>
      </w:r>
      <w:proofErr w:type="spellEnd"/>
      <w:r w:rsidRPr="00866277">
        <w:rPr>
          <w:rFonts w:eastAsia="Times New Roman"/>
          <w:lang w:val="ro-RO" w:eastAsia="ru-RU"/>
        </w:rPr>
        <w:t xml:space="preserve"> al ASEM prin disciplinele: Comportamentul consumatorului (150 de ore), </w:t>
      </w:r>
      <w:proofErr w:type="spellStart"/>
      <w:r w:rsidRPr="00866277">
        <w:rPr>
          <w:rFonts w:eastAsia="Times New Roman"/>
          <w:lang w:val="ro-RO" w:eastAsia="ru-RU"/>
        </w:rPr>
        <w:t>Legislaţia</w:t>
      </w:r>
      <w:proofErr w:type="spellEnd"/>
      <w:r w:rsidRPr="00866277">
        <w:rPr>
          <w:rFonts w:eastAsia="Times New Roman"/>
          <w:lang w:val="ro-RO" w:eastAsia="ru-RU"/>
        </w:rPr>
        <w:t xml:space="preserve"> </w:t>
      </w:r>
      <w:proofErr w:type="spellStart"/>
      <w:r w:rsidRPr="00866277">
        <w:rPr>
          <w:rFonts w:eastAsia="Times New Roman"/>
          <w:lang w:val="ro-RO" w:eastAsia="ru-RU"/>
        </w:rPr>
        <w:t>şi</w:t>
      </w:r>
      <w:proofErr w:type="spellEnd"/>
      <w:r w:rsidRPr="00866277">
        <w:rPr>
          <w:rFonts w:eastAsia="Times New Roman"/>
          <w:lang w:val="ro-RO" w:eastAsia="ru-RU"/>
        </w:rPr>
        <w:t xml:space="preserve"> </w:t>
      </w:r>
      <w:proofErr w:type="spellStart"/>
      <w:r w:rsidRPr="00866277">
        <w:rPr>
          <w:rFonts w:eastAsia="Times New Roman"/>
          <w:lang w:val="ro-RO" w:eastAsia="ru-RU"/>
        </w:rPr>
        <w:t>protecţia</w:t>
      </w:r>
      <w:proofErr w:type="spellEnd"/>
      <w:r w:rsidRPr="00866277">
        <w:rPr>
          <w:rFonts w:eastAsia="Times New Roman"/>
          <w:lang w:val="ro-RO" w:eastAsia="ru-RU"/>
        </w:rPr>
        <w:t xml:space="preserve"> consumatorului (140 de ore), </w:t>
      </w:r>
      <w:proofErr w:type="spellStart"/>
      <w:r w:rsidRPr="00866277">
        <w:rPr>
          <w:rFonts w:eastAsia="Times New Roman"/>
          <w:lang w:val="ro-RO" w:eastAsia="ru-RU"/>
        </w:rPr>
        <w:t>Protecţia</w:t>
      </w:r>
      <w:proofErr w:type="spellEnd"/>
      <w:r w:rsidRPr="00866277">
        <w:rPr>
          <w:rFonts w:eastAsia="Times New Roman"/>
          <w:lang w:val="ro-RO" w:eastAsia="ru-RU"/>
        </w:rPr>
        <w:t xml:space="preserve"> consumatorului (30 de ore). Subiectul drepturile consumatorului a fost prezent și la orele educative: Drepturile de consumator, Consumatorul trebuie să fie bine informat. În instituție anual sunt organizate activități cu privire la Ziua Mondială a Drepturilor Consumatorilor.</w:t>
      </w:r>
    </w:p>
    <w:p w:rsidR="00544235" w:rsidRPr="00866277" w:rsidRDefault="00544235" w:rsidP="00C2236E">
      <w:pPr>
        <w:tabs>
          <w:tab w:val="num" w:pos="429"/>
        </w:tabs>
        <w:ind w:firstLine="720"/>
        <w:jc w:val="both"/>
        <w:rPr>
          <w:rFonts w:eastAsia="Times New Roman"/>
          <w:i/>
          <w:lang w:val="ro-RO"/>
        </w:rPr>
      </w:pPr>
      <w:r w:rsidRPr="00866277">
        <w:rPr>
          <w:rFonts w:eastAsia="Times New Roman"/>
          <w:lang w:val="ro-RO"/>
        </w:rPr>
        <w:t xml:space="preserve">În  colegiile cu profil agricol subiectul drepturilor </w:t>
      </w:r>
      <w:proofErr w:type="spellStart"/>
      <w:r w:rsidRPr="00866277">
        <w:rPr>
          <w:rFonts w:eastAsia="Times New Roman"/>
          <w:lang w:val="ro-RO"/>
        </w:rPr>
        <w:t>consumatorilorse</w:t>
      </w:r>
      <w:proofErr w:type="spellEnd"/>
      <w:r w:rsidRPr="00866277">
        <w:rPr>
          <w:rFonts w:eastAsia="Times New Roman"/>
          <w:lang w:val="ro-RO"/>
        </w:rPr>
        <w:t xml:space="preserve"> studiază la disciplinele: </w:t>
      </w:r>
      <w:proofErr w:type="spellStart"/>
      <w:r w:rsidRPr="00866277">
        <w:rPr>
          <w:rFonts w:eastAsia="Times New Roman"/>
          <w:i/>
          <w:lang w:val="ro-RO"/>
        </w:rPr>
        <w:t>Legislaţia</w:t>
      </w:r>
      <w:proofErr w:type="spellEnd"/>
      <w:r w:rsidRPr="00866277">
        <w:rPr>
          <w:rFonts w:eastAsia="Times New Roman"/>
          <w:i/>
          <w:lang w:val="ro-RO"/>
        </w:rPr>
        <w:t xml:space="preserve"> </w:t>
      </w:r>
      <w:proofErr w:type="spellStart"/>
      <w:r w:rsidRPr="00866277">
        <w:rPr>
          <w:rFonts w:eastAsia="Times New Roman"/>
          <w:i/>
          <w:lang w:val="ro-RO"/>
        </w:rPr>
        <w:t>şi</w:t>
      </w:r>
      <w:proofErr w:type="spellEnd"/>
      <w:r w:rsidRPr="00866277">
        <w:rPr>
          <w:rFonts w:eastAsia="Times New Roman"/>
          <w:i/>
          <w:lang w:val="ro-RO"/>
        </w:rPr>
        <w:t xml:space="preserve"> </w:t>
      </w:r>
      <w:proofErr w:type="spellStart"/>
      <w:r w:rsidRPr="00866277">
        <w:rPr>
          <w:rFonts w:eastAsia="Times New Roman"/>
          <w:i/>
          <w:lang w:val="ro-RO"/>
        </w:rPr>
        <w:t>protecţia</w:t>
      </w:r>
      <w:proofErr w:type="spellEnd"/>
      <w:r w:rsidRPr="00866277">
        <w:rPr>
          <w:rFonts w:eastAsia="Times New Roman"/>
          <w:i/>
          <w:lang w:val="ro-RO"/>
        </w:rPr>
        <w:t xml:space="preserve"> consumatorului</w:t>
      </w:r>
      <w:r w:rsidRPr="00866277">
        <w:rPr>
          <w:rFonts w:eastAsia="Times New Roman"/>
          <w:lang w:val="ro-RO"/>
        </w:rPr>
        <w:t xml:space="preserve">, </w:t>
      </w:r>
      <w:r w:rsidRPr="00866277">
        <w:rPr>
          <w:rFonts w:eastAsia="Times New Roman"/>
          <w:i/>
          <w:lang w:val="ro-RO"/>
        </w:rPr>
        <w:t xml:space="preserve">Managementul </w:t>
      </w:r>
      <w:proofErr w:type="spellStart"/>
      <w:r w:rsidRPr="00866277">
        <w:rPr>
          <w:rFonts w:eastAsia="Times New Roman"/>
          <w:i/>
          <w:lang w:val="ro-RO"/>
        </w:rPr>
        <w:t>calităţii</w:t>
      </w:r>
      <w:proofErr w:type="spellEnd"/>
      <w:r w:rsidRPr="00866277">
        <w:rPr>
          <w:rFonts w:eastAsia="Times New Roman"/>
          <w:i/>
          <w:lang w:val="ro-RO"/>
        </w:rPr>
        <w:t xml:space="preserve">, Organizarea producerii </w:t>
      </w:r>
      <w:proofErr w:type="spellStart"/>
      <w:r w:rsidRPr="00866277">
        <w:rPr>
          <w:rFonts w:eastAsia="Times New Roman"/>
          <w:i/>
          <w:lang w:val="ro-RO"/>
        </w:rPr>
        <w:t>şi</w:t>
      </w:r>
      <w:proofErr w:type="spellEnd"/>
      <w:r w:rsidRPr="00866277">
        <w:rPr>
          <w:rFonts w:eastAsia="Times New Roman"/>
          <w:i/>
          <w:lang w:val="ro-RO"/>
        </w:rPr>
        <w:t xml:space="preserve"> managementul </w:t>
      </w:r>
      <w:proofErr w:type="spellStart"/>
      <w:r w:rsidRPr="00866277">
        <w:rPr>
          <w:rFonts w:eastAsia="Times New Roman"/>
          <w:i/>
          <w:lang w:val="ro-RO"/>
        </w:rPr>
        <w:t>calităţii</w:t>
      </w:r>
      <w:proofErr w:type="spellEnd"/>
      <w:r w:rsidRPr="00866277">
        <w:rPr>
          <w:rFonts w:eastAsia="Times New Roman"/>
          <w:i/>
          <w:lang w:val="ro-RO"/>
        </w:rPr>
        <w:t xml:space="preserve"> alimentelor.</w:t>
      </w:r>
    </w:p>
    <w:p w:rsidR="00544235" w:rsidRPr="00866277" w:rsidRDefault="00544235" w:rsidP="00C2236E">
      <w:pPr>
        <w:tabs>
          <w:tab w:val="num" w:pos="429"/>
        </w:tabs>
        <w:ind w:firstLine="720"/>
        <w:jc w:val="both"/>
        <w:rPr>
          <w:rFonts w:eastAsia="Times New Roman"/>
          <w:b/>
          <w:u w:val="single"/>
          <w:lang w:val="ro-RO"/>
        </w:rPr>
      </w:pPr>
      <w:r w:rsidRPr="00866277">
        <w:rPr>
          <w:rFonts w:eastAsia="Times New Roman"/>
          <w:b/>
          <w:u w:val="single"/>
          <w:lang w:val="ro-RO"/>
        </w:rPr>
        <w:t>3) Învățământul superior</w:t>
      </w:r>
    </w:p>
    <w:p w:rsidR="00544235" w:rsidRPr="00866277" w:rsidRDefault="00544235" w:rsidP="00C2236E">
      <w:pPr>
        <w:ind w:firstLine="720"/>
        <w:jc w:val="both"/>
        <w:rPr>
          <w:rFonts w:eastAsia="Times New Roman"/>
          <w:lang w:val="ro-RO" w:eastAsia="ru-RU"/>
        </w:rPr>
      </w:pPr>
      <w:r w:rsidRPr="00866277">
        <w:rPr>
          <w:rFonts w:eastAsia="Times New Roman"/>
          <w:lang w:val="ro-RO" w:eastAsia="ru-RU"/>
        </w:rPr>
        <w:lastRenderedPageBreak/>
        <w:t xml:space="preserve">În vederea dezvoltării procesului de educare a consumatorilor, în instituțiile de învățământ superior a fost elaborate </w:t>
      </w:r>
      <w:proofErr w:type="spellStart"/>
      <w:r w:rsidRPr="00866277">
        <w:rPr>
          <w:rFonts w:eastAsia="Times New Roman"/>
          <w:lang w:val="ro-RO" w:eastAsia="ru-RU"/>
        </w:rPr>
        <w:t>şi</w:t>
      </w:r>
      <w:proofErr w:type="spellEnd"/>
      <w:r w:rsidRPr="00866277">
        <w:rPr>
          <w:rFonts w:eastAsia="Times New Roman"/>
          <w:lang w:val="ro-RO" w:eastAsia="ru-RU"/>
        </w:rPr>
        <w:t xml:space="preserve"> implementate unități de curs/modul în domeniul </w:t>
      </w:r>
      <w:proofErr w:type="spellStart"/>
      <w:r w:rsidRPr="00866277">
        <w:rPr>
          <w:rFonts w:eastAsia="Times New Roman"/>
          <w:lang w:val="ro-RO" w:eastAsia="ru-RU"/>
        </w:rPr>
        <w:t>protecţiei</w:t>
      </w:r>
      <w:proofErr w:type="spellEnd"/>
      <w:r w:rsidRPr="00866277">
        <w:rPr>
          <w:rFonts w:eastAsia="Times New Roman"/>
          <w:lang w:val="ro-RO" w:eastAsia="ru-RU"/>
        </w:rPr>
        <w:t xml:space="preserve"> consumatorilor. </w:t>
      </w:r>
    </w:p>
    <w:p w:rsidR="00544235" w:rsidRPr="00866277" w:rsidRDefault="00544235" w:rsidP="00C2236E">
      <w:pPr>
        <w:tabs>
          <w:tab w:val="num" w:pos="429"/>
        </w:tabs>
        <w:ind w:firstLine="720"/>
        <w:jc w:val="both"/>
        <w:rPr>
          <w:rFonts w:eastAsia="Times New Roman"/>
          <w:lang w:val="ro-RO"/>
        </w:rPr>
      </w:pPr>
      <w:r w:rsidRPr="008A735E">
        <w:rPr>
          <w:rFonts w:eastAsia="Times New Roman"/>
          <w:lang w:val="ro-RO"/>
        </w:rPr>
        <w:t xml:space="preserve">În </w:t>
      </w:r>
      <w:proofErr w:type="spellStart"/>
      <w:r w:rsidRPr="008A735E">
        <w:rPr>
          <w:rFonts w:eastAsia="Times New Roman"/>
          <w:lang w:val="ro-RO"/>
        </w:rPr>
        <w:t>instituţiile</w:t>
      </w:r>
      <w:proofErr w:type="spellEnd"/>
      <w:r w:rsidRPr="008A735E">
        <w:rPr>
          <w:rFonts w:eastAsia="Times New Roman"/>
          <w:lang w:val="ro-RO"/>
        </w:rPr>
        <w:t xml:space="preserve"> de </w:t>
      </w:r>
      <w:proofErr w:type="spellStart"/>
      <w:r w:rsidRPr="008A735E">
        <w:rPr>
          <w:rFonts w:eastAsia="Times New Roman"/>
          <w:lang w:val="ro-RO"/>
        </w:rPr>
        <w:t>învăţămînt</w:t>
      </w:r>
      <w:proofErr w:type="spellEnd"/>
      <w:r w:rsidRPr="008A735E">
        <w:rPr>
          <w:rFonts w:eastAsia="Times New Roman"/>
          <w:lang w:val="ro-RO"/>
        </w:rPr>
        <w:t xml:space="preserve"> superior programele de studii în domeniul drepturilor consumatorilor</w:t>
      </w:r>
      <w:r w:rsidRPr="00866277">
        <w:rPr>
          <w:rFonts w:eastAsia="Times New Roman"/>
          <w:lang w:val="ro-RO"/>
        </w:rPr>
        <w:t xml:space="preserve"> se realizează la specialitățile economice:</w:t>
      </w:r>
    </w:p>
    <w:p w:rsidR="00544235" w:rsidRPr="00866277" w:rsidRDefault="00544235" w:rsidP="00C2236E">
      <w:pPr>
        <w:ind w:firstLine="720"/>
        <w:jc w:val="both"/>
        <w:rPr>
          <w:rFonts w:eastAsia="Times New Roman"/>
          <w:lang w:val="ro-RO" w:eastAsia="ru-RU"/>
        </w:rPr>
      </w:pPr>
      <w:r w:rsidRPr="00866277">
        <w:rPr>
          <w:rFonts w:eastAsia="Times New Roman"/>
          <w:lang w:val="ro-RO"/>
        </w:rPr>
        <w:t xml:space="preserve">1) La </w:t>
      </w:r>
      <w:r w:rsidRPr="00C5279B">
        <w:rPr>
          <w:rFonts w:eastAsia="Times New Roman"/>
          <w:u w:val="single"/>
          <w:lang w:val="ro-RO"/>
        </w:rPr>
        <w:t>Academia de Studii Economice</w:t>
      </w:r>
      <w:r w:rsidRPr="00866277">
        <w:rPr>
          <w:rFonts w:eastAsia="Times New Roman"/>
          <w:lang w:val="ro-RO"/>
        </w:rPr>
        <w:t>,</w:t>
      </w:r>
      <w:r w:rsidRPr="00866277">
        <w:rPr>
          <w:rFonts w:eastAsia="Times New Roman"/>
          <w:lang w:val="ro-RO" w:eastAsia="ru-RU"/>
        </w:rPr>
        <w:t xml:space="preserve"> la Facultatea de Economie Generală și de Drept, în cadrul departamentului, anual este actualizat și aprobat curriculumul la disciplina </w:t>
      </w:r>
      <w:r w:rsidRPr="00866277">
        <w:rPr>
          <w:rFonts w:eastAsia="Times New Roman"/>
          <w:i/>
          <w:lang w:val="ro-RO" w:eastAsia="ru-RU"/>
        </w:rPr>
        <w:t>Dreptul protecției consumatorului</w:t>
      </w:r>
      <w:r w:rsidRPr="00866277">
        <w:rPr>
          <w:rFonts w:eastAsia="Times New Roman"/>
          <w:lang w:val="ro-RO" w:eastAsia="ru-RU"/>
        </w:rPr>
        <w:t xml:space="preserve"> la ciclul I – licență și ciclul II - master, ca o disciplină obligatorie pentru toate specialitățile de</w:t>
      </w:r>
      <w:r w:rsidRPr="00866277">
        <w:rPr>
          <w:lang w:val="ro-RO"/>
        </w:rPr>
        <w:t xml:space="preserve"> </w:t>
      </w:r>
      <w:r w:rsidRPr="00866277">
        <w:rPr>
          <w:rFonts w:eastAsia="Times New Roman"/>
          <w:lang w:val="ro-RO" w:eastAsia="ru-RU"/>
        </w:rPr>
        <w:t xml:space="preserve">drept. </w:t>
      </w:r>
      <w:r w:rsidRPr="00866277">
        <w:rPr>
          <w:rFonts w:eastAsia="Times New Roman"/>
          <w:lang w:val="ro-RO"/>
        </w:rPr>
        <w:t xml:space="preserve"> La ciclul I licență în cadrul cursurilor ,,Marketing” ,,Marketing general și business” este inclus modulul ,,Comportamentul consumatorului”, la ciclul II master, la programele de master ,,Drept economic,, este inclusă disciplina opțională ,,Protecția consumatorilor” ascultată de circa 30 de studenți, la ciclul I, în cadrul disciplinei ,,Dreptul afacerilor” este inclusă tema ,,Protecția/drepturile consumatorilor din perspectiva de relații în afaceri”.</w:t>
      </w:r>
    </w:p>
    <w:p w:rsidR="00544235" w:rsidRPr="00866277" w:rsidRDefault="00544235" w:rsidP="00C2236E">
      <w:pPr>
        <w:tabs>
          <w:tab w:val="num" w:pos="429"/>
        </w:tabs>
        <w:ind w:firstLine="720"/>
        <w:jc w:val="both"/>
        <w:rPr>
          <w:rFonts w:eastAsia="Times New Roman"/>
          <w:i/>
          <w:lang w:val="ro-RO"/>
        </w:rPr>
      </w:pPr>
      <w:r w:rsidRPr="00866277">
        <w:rPr>
          <w:rFonts w:eastAsia="Times New Roman"/>
          <w:lang w:val="ro-RO"/>
        </w:rPr>
        <w:t xml:space="preserve">2) La </w:t>
      </w:r>
      <w:r w:rsidRPr="00C5279B">
        <w:rPr>
          <w:rFonts w:eastAsia="Times New Roman"/>
          <w:u w:val="single"/>
          <w:lang w:val="ro-RO"/>
        </w:rPr>
        <w:t>Universitatea de Stat din Moldova</w:t>
      </w:r>
      <w:r w:rsidRPr="00866277">
        <w:rPr>
          <w:rFonts w:eastAsia="Times New Roman"/>
          <w:lang w:val="ro-RO"/>
        </w:rPr>
        <w:t xml:space="preserve">, la ciclul I, la specialitatea </w:t>
      </w:r>
      <w:r w:rsidRPr="00866277">
        <w:rPr>
          <w:rFonts w:eastAsia="Times New Roman"/>
          <w:i/>
          <w:lang w:val="ro-RO"/>
        </w:rPr>
        <w:t xml:space="preserve">Marketing </w:t>
      </w:r>
      <w:proofErr w:type="spellStart"/>
      <w:r w:rsidRPr="00866277">
        <w:rPr>
          <w:rFonts w:eastAsia="Times New Roman"/>
          <w:i/>
          <w:lang w:val="ro-RO"/>
        </w:rPr>
        <w:t>şi</w:t>
      </w:r>
      <w:proofErr w:type="spellEnd"/>
      <w:r w:rsidRPr="00866277">
        <w:rPr>
          <w:rFonts w:eastAsia="Times New Roman"/>
          <w:i/>
          <w:lang w:val="ro-RO"/>
        </w:rPr>
        <w:t xml:space="preserve"> logistică</w:t>
      </w:r>
      <w:r w:rsidRPr="00866277">
        <w:rPr>
          <w:rFonts w:eastAsia="Times New Roman"/>
          <w:lang w:val="ro-RO"/>
        </w:rPr>
        <w:t xml:space="preserve"> se studiază disciplina </w:t>
      </w:r>
      <w:proofErr w:type="spellStart"/>
      <w:r w:rsidRPr="00866277">
        <w:rPr>
          <w:rFonts w:eastAsia="Times New Roman"/>
          <w:lang w:val="ro-RO"/>
        </w:rPr>
        <w:t>Protecţia</w:t>
      </w:r>
      <w:proofErr w:type="spellEnd"/>
      <w:r w:rsidRPr="00866277">
        <w:rPr>
          <w:rFonts w:eastAsia="Times New Roman"/>
          <w:lang w:val="ro-RO"/>
        </w:rPr>
        <w:t xml:space="preserve"> consumatorului. De asemenea la ciclul II, programele de master Studii în marketing </w:t>
      </w:r>
      <w:proofErr w:type="spellStart"/>
      <w:r w:rsidRPr="00866277">
        <w:rPr>
          <w:rFonts w:eastAsia="Times New Roman"/>
          <w:lang w:val="ro-RO"/>
        </w:rPr>
        <w:t>şi</w:t>
      </w:r>
      <w:proofErr w:type="spellEnd"/>
      <w:r w:rsidRPr="00866277">
        <w:rPr>
          <w:rFonts w:eastAsia="Times New Roman"/>
          <w:lang w:val="ro-RO"/>
        </w:rPr>
        <w:t xml:space="preserve"> </w:t>
      </w:r>
      <w:proofErr w:type="spellStart"/>
      <w:r w:rsidRPr="00866277">
        <w:rPr>
          <w:rFonts w:eastAsia="Times New Roman"/>
          <w:lang w:val="ro-RO"/>
        </w:rPr>
        <w:t>Comerţ</w:t>
      </w:r>
      <w:proofErr w:type="spellEnd"/>
      <w:r w:rsidRPr="00866277">
        <w:rPr>
          <w:rFonts w:eastAsia="Times New Roman"/>
          <w:lang w:val="ro-RO"/>
        </w:rPr>
        <w:t xml:space="preserve"> </w:t>
      </w:r>
      <w:proofErr w:type="spellStart"/>
      <w:r w:rsidRPr="00866277">
        <w:rPr>
          <w:rFonts w:eastAsia="Times New Roman"/>
          <w:lang w:val="ro-RO"/>
        </w:rPr>
        <w:t>internaţional</w:t>
      </w:r>
      <w:proofErr w:type="spellEnd"/>
      <w:r w:rsidRPr="00866277">
        <w:rPr>
          <w:rFonts w:eastAsia="Times New Roman"/>
          <w:lang w:val="ro-RO"/>
        </w:rPr>
        <w:t xml:space="preserve">, </w:t>
      </w:r>
      <w:proofErr w:type="spellStart"/>
      <w:r w:rsidRPr="00866277">
        <w:rPr>
          <w:rFonts w:eastAsia="Times New Roman"/>
          <w:i/>
          <w:lang w:val="ro-RO"/>
        </w:rPr>
        <w:t>conţin</w:t>
      </w:r>
      <w:proofErr w:type="spellEnd"/>
      <w:r w:rsidRPr="00866277">
        <w:rPr>
          <w:rFonts w:eastAsia="Times New Roman"/>
          <w:i/>
          <w:lang w:val="ro-RO"/>
        </w:rPr>
        <w:t xml:space="preserve"> subiecte privind </w:t>
      </w:r>
      <w:proofErr w:type="spellStart"/>
      <w:r w:rsidRPr="00866277">
        <w:rPr>
          <w:rFonts w:eastAsia="Times New Roman"/>
          <w:i/>
          <w:lang w:val="ro-RO"/>
        </w:rPr>
        <w:t>protecţia</w:t>
      </w:r>
      <w:proofErr w:type="spellEnd"/>
      <w:r w:rsidRPr="00866277">
        <w:rPr>
          <w:rFonts w:eastAsia="Times New Roman"/>
          <w:i/>
          <w:lang w:val="ro-RO"/>
        </w:rPr>
        <w:t xml:space="preserve"> și drepturile consumatorului.</w:t>
      </w:r>
    </w:p>
    <w:p w:rsidR="00544235" w:rsidRPr="00866277" w:rsidRDefault="00544235" w:rsidP="00C2236E">
      <w:pPr>
        <w:tabs>
          <w:tab w:val="num" w:pos="429"/>
        </w:tabs>
        <w:ind w:firstLine="720"/>
        <w:jc w:val="both"/>
        <w:rPr>
          <w:rFonts w:eastAsia="Times New Roman"/>
          <w:lang w:val="ro-RO"/>
        </w:rPr>
      </w:pPr>
      <w:r w:rsidRPr="00866277">
        <w:rPr>
          <w:rFonts w:eastAsia="Times New Roman"/>
          <w:lang w:val="ro-RO"/>
        </w:rPr>
        <w:t xml:space="preserve">3) La </w:t>
      </w:r>
      <w:r w:rsidRPr="00C5279B">
        <w:rPr>
          <w:rFonts w:eastAsia="Times New Roman"/>
          <w:u w:val="single"/>
          <w:lang w:val="ro-RO"/>
        </w:rPr>
        <w:t>Universitatea Pedagogică ,,</w:t>
      </w:r>
      <w:proofErr w:type="spellStart"/>
      <w:r w:rsidRPr="00C5279B">
        <w:rPr>
          <w:rFonts w:eastAsia="Times New Roman"/>
          <w:u w:val="single"/>
          <w:lang w:val="ro-RO"/>
        </w:rPr>
        <w:t>A.Russo</w:t>
      </w:r>
      <w:proofErr w:type="spellEnd"/>
      <w:r w:rsidRPr="00C5279B">
        <w:rPr>
          <w:rFonts w:eastAsia="Times New Roman"/>
          <w:u w:val="single"/>
          <w:lang w:val="ro-RO"/>
        </w:rPr>
        <w:t xml:space="preserve">’’ din or. </w:t>
      </w:r>
      <w:proofErr w:type="spellStart"/>
      <w:r w:rsidRPr="00C5279B">
        <w:rPr>
          <w:rFonts w:eastAsia="Times New Roman"/>
          <w:u w:val="single"/>
          <w:lang w:val="ro-RO"/>
        </w:rPr>
        <w:t>Bălţi</w:t>
      </w:r>
      <w:proofErr w:type="spellEnd"/>
      <w:r w:rsidRPr="00866277">
        <w:rPr>
          <w:rFonts w:eastAsia="Times New Roman"/>
          <w:lang w:val="ro-RO"/>
        </w:rPr>
        <w:t xml:space="preserve">, disciplina </w:t>
      </w:r>
      <w:proofErr w:type="spellStart"/>
      <w:r w:rsidRPr="00866277">
        <w:rPr>
          <w:rFonts w:eastAsia="Times New Roman"/>
          <w:i/>
          <w:lang w:val="ro-RO"/>
        </w:rPr>
        <w:t>Protecţia</w:t>
      </w:r>
      <w:proofErr w:type="spellEnd"/>
      <w:r w:rsidRPr="00866277">
        <w:rPr>
          <w:rFonts w:eastAsia="Times New Roman"/>
          <w:i/>
          <w:lang w:val="ro-RO"/>
        </w:rPr>
        <w:t xml:space="preserve"> drepturilor consumatorului</w:t>
      </w:r>
      <w:r w:rsidRPr="00866277">
        <w:rPr>
          <w:rFonts w:eastAsia="Times New Roman"/>
          <w:lang w:val="ro-RO"/>
        </w:rPr>
        <w:t xml:space="preserve"> se studiază opțional. De asemenea, la ciclul I licență, la Programul Business și administrare, Contabilitate, Turism, Finanțe și bănci unitatea de curs </w:t>
      </w:r>
      <w:r w:rsidR="008A735E">
        <w:rPr>
          <w:rFonts w:eastAsia="Times New Roman"/>
          <w:lang w:val="ro-RO"/>
        </w:rPr>
        <w:t>„</w:t>
      </w:r>
      <w:r w:rsidRPr="00866277">
        <w:rPr>
          <w:rFonts w:eastAsia="Times New Roman"/>
          <w:lang w:val="ro-RO"/>
        </w:rPr>
        <w:t>Principiile economiei de piață</w:t>
      </w:r>
      <w:r w:rsidR="008A735E">
        <w:rPr>
          <w:rFonts w:eastAsia="Times New Roman"/>
          <w:lang w:val="ro-RO"/>
        </w:rPr>
        <w:t>”</w:t>
      </w:r>
      <w:r w:rsidRPr="00866277">
        <w:rPr>
          <w:rFonts w:eastAsia="Times New Roman"/>
          <w:lang w:val="ro-RO"/>
        </w:rPr>
        <w:t xml:space="preserve"> este studiat subiectul Dreptul consumatorilor de către 20 de studenți, la același program dar la unitatea de curs Teoria economică I se studiază </w:t>
      </w:r>
      <w:r w:rsidRPr="00866277">
        <w:rPr>
          <w:rFonts w:eastAsia="Times New Roman"/>
          <w:i/>
          <w:lang w:val="ro-RO"/>
        </w:rPr>
        <w:t>Dreptul consumatorului</w:t>
      </w:r>
      <w:r w:rsidRPr="00866277">
        <w:rPr>
          <w:rFonts w:eastAsia="Times New Roman"/>
          <w:lang w:val="ro-RO"/>
        </w:rPr>
        <w:t xml:space="preserve"> de 30 de studenți.</w:t>
      </w:r>
    </w:p>
    <w:p w:rsidR="00544235" w:rsidRPr="00866277" w:rsidRDefault="00544235" w:rsidP="00C2236E">
      <w:pPr>
        <w:tabs>
          <w:tab w:val="num" w:pos="429"/>
        </w:tabs>
        <w:ind w:firstLine="720"/>
        <w:jc w:val="both"/>
        <w:rPr>
          <w:rFonts w:eastAsia="Times New Roman"/>
          <w:lang w:val="ro-RO"/>
        </w:rPr>
      </w:pPr>
      <w:r w:rsidRPr="00866277">
        <w:rPr>
          <w:rFonts w:eastAsia="Times New Roman"/>
          <w:lang w:val="ro-RO"/>
        </w:rPr>
        <w:t xml:space="preserve">4) La </w:t>
      </w:r>
      <w:r w:rsidRPr="00C5279B">
        <w:rPr>
          <w:rFonts w:eastAsia="Times New Roman"/>
          <w:u w:val="single"/>
          <w:lang w:val="ro-RO"/>
        </w:rPr>
        <w:t>Universitatea de Stat din Comrat</w:t>
      </w:r>
      <w:r w:rsidRPr="00866277">
        <w:rPr>
          <w:rFonts w:eastAsia="Times New Roman"/>
          <w:lang w:val="ro-RO"/>
        </w:rPr>
        <w:t xml:space="preserve">, la specialitatea ,,Managementul activității de marketing”, disciplinele de bază conțin subiecte privind </w:t>
      </w:r>
      <w:r w:rsidR="00797C29">
        <w:rPr>
          <w:rFonts w:eastAsia="Times New Roman"/>
          <w:i/>
          <w:lang w:val="ro-RO"/>
        </w:rPr>
        <w:t xml:space="preserve">protecția/drepturile </w:t>
      </w:r>
      <w:r w:rsidRPr="00866277">
        <w:rPr>
          <w:rFonts w:eastAsia="Times New Roman"/>
          <w:i/>
          <w:lang w:val="ro-RO"/>
        </w:rPr>
        <w:t>consumatorului</w:t>
      </w:r>
      <w:r w:rsidRPr="00866277">
        <w:rPr>
          <w:rFonts w:eastAsia="Times New Roman"/>
          <w:lang w:val="ro-RO"/>
        </w:rPr>
        <w:t>, la specialitatea Drept cursul ,,Dreptul consumatorului’ este studiat de 60 de studenți, totodată, la specialitatea ,,Managementul activității de marketing”, disciplinele de bază conțin subiecte privind drepturile consumatorului.</w:t>
      </w:r>
    </w:p>
    <w:p w:rsidR="00544235" w:rsidRPr="00866277" w:rsidRDefault="00544235" w:rsidP="00C2236E">
      <w:pPr>
        <w:tabs>
          <w:tab w:val="num" w:pos="429"/>
        </w:tabs>
        <w:ind w:firstLine="720"/>
        <w:jc w:val="both"/>
        <w:rPr>
          <w:rFonts w:eastAsia="Times New Roman"/>
          <w:lang w:val="ro-RO"/>
        </w:rPr>
      </w:pPr>
      <w:r w:rsidRPr="00866277">
        <w:rPr>
          <w:rFonts w:eastAsia="Times New Roman"/>
          <w:lang w:val="ro-RO"/>
        </w:rPr>
        <w:t xml:space="preserve">5) La </w:t>
      </w:r>
      <w:r w:rsidRPr="00C5279B">
        <w:rPr>
          <w:rFonts w:eastAsia="Times New Roman"/>
          <w:u w:val="single"/>
          <w:lang w:val="ro-RO"/>
        </w:rPr>
        <w:t>Universitatea Cooperatist Comercială,</w:t>
      </w:r>
      <w:r w:rsidRPr="00866277">
        <w:rPr>
          <w:rFonts w:eastAsia="Times New Roman"/>
          <w:lang w:val="ro-RO"/>
        </w:rPr>
        <w:t xml:space="preserve"> la specialitățile Merceologie și comerț și Marketing și</w:t>
      </w:r>
      <w:r w:rsidRPr="00866277">
        <w:rPr>
          <w:lang w:val="ro-RO"/>
        </w:rPr>
        <w:t xml:space="preserve"> </w:t>
      </w:r>
      <w:r w:rsidRPr="00866277">
        <w:rPr>
          <w:rFonts w:eastAsia="Times New Roman"/>
          <w:lang w:val="ro-RO"/>
        </w:rPr>
        <w:t xml:space="preserve">logistică disciplina </w:t>
      </w:r>
      <w:r w:rsidRPr="00866277">
        <w:rPr>
          <w:rFonts w:eastAsia="Times New Roman"/>
          <w:i/>
          <w:lang w:val="ro-RO"/>
        </w:rPr>
        <w:t>Protecția consumatorului</w:t>
      </w:r>
      <w:r w:rsidRPr="00866277">
        <w:rPr>
          <w:rFonts w:eastAsia="Times New Roman"/>
          <w:lang w:val="ro-RO"/>
        </w:rPr>
        <w:t xml:space="preserve"> este studiată respectiv de 200 și 100 de studenți. De asemenea, la </w:t>
      </w:r>
      <w:proofErr w:type="spellStart"/>
      <w:r w:rsidRPr="00866277">
        <w:rPr>
          <w:rFonts w:eastAsia="Times New Roman"/>
          <w:lang w:val="ro-RO"/>
        </w:rPr>
        <w:t>specialitatățile</w:t>
      </w:r>
      <w:proofErr w:type="spellEnd"/>
      <w:r w:rsidRPr="00866277">
        <w:rPr>
          <w:rFonts w:eastAsia="Times New Roman"/>
          <w:lang w:val="ro-RO"/>
        </w:rPr>
        <w:t xml:space="preserve">: Turism, Tehnologia și managementul alimentației publice, Contabilitate, Finanțe și bănci </w:t>
      </w:r>
      <w:proofErr w:type="spellStart"/>
      <w:r w:rsidRPr="00866277">
        <w:rPr>
          <w:rFonts w:eastAsia="Times New Roman"/>
          <w:lang w:val="ro-RO"/>
        </w:rPr>
        <w:t>specializarile</w:t>
      </w:r>
      <w:proofErr w:type="spellEnd"/>
      <w:r w:rsidRPr="00866277">
        <w:rPr>
          <w:rFonts w:eastAsia="Times New Roman"/>
          <w:lang w:val="ro-RO"/>
        </w:rPr>
        <w:t xml:space="preserve"> </w:t>
      </w:r>
      <w:proofErr w:type="spellStart"/>
      <w:r w:rsidRPr="00866277">
        <w:rPr>
          <w:rFonts w:eastAsia="Times New Roman"/>
          <w:lang w:val="ro-RO"/>
        </w:rPr>
        <w:t>Administarea</w:t>
      </w:r>
      <w:proofErr w:type="spellEnd"/>
      <w:r w:rsidRPr="00866277">
        <w:rPr>
          <w:rFonts w:eastAsia="Times New Roman"/>
          <w:lang w:val="ro-RO"/>
        </w:rPr>
        <w:t xml:space="preserve"> businessului, Management și marketing în turism, industria hotelieră și restaurație, Tehnologia și managementul alimentației publice (ciclul II) ca disciplină opțională se studiază ,,Protecția consumatorului”.</w:t>
      </w:r>
    </w:p>
    <w:p w:rsidR="00544235" w:rsidRPr="00866277" w:rsidRDefault="00544235" w:rsidP="00C2236E">
      <w:pPr>
        <w:tabs>
          <w:tab w:val="num" w:pos="429"/>
        </w:tabs>
        <w:ind w:firstLine="720"/>
        <w:jc w:val="both"/>
        <w:rPr>
          <w:rFonts w:eastAsia="Times New Roman"/>
          <w:lang w:val="ro-RO"/>
        </w:rPr>
      </w:pPr>
      <w:r w:rsidRPr="00866277">
        <w:rPr>
          <w:rFonts w:eastAsia="Times New Roman"/>
          <w:lang w:val="ro-RO"/>
        </w:rPr>
        <w:t xml:space="preserve">6) La </w:t>
      </w:r>
      <w:r w:rsidRPr="00C5279B">
        <w:rPr>
          <w:rFonts w:eastAsia="Times New Roman"/>
          <w:u w:val="single"/>
          <w:lang w:val="ro-RO"/>
        </w:rPr>
        <w:t>Universitatea Agrară de Stat din Moldova</w:t>
      </w:r>
      <w:r w:rsidRPr="00866277">
        <w:rPr>
          <w:rFonts w:eastAsia="Times New Roman"/>
          <w:lang w:val="ro-RO"/>
        </w:rPr>
        <w:t>, la specialitățile economice, la disciplina opțională ,,Protecția consumatorului” se studiază cursul ,,</w:t>
      </w:r>
      <w:r w:rsidRPr="00866277">
        <w:rPr>
          <w:rFonts w:eastAsia="Times New Roman"/>
          <w:i/>
          <w:lang w:val="ro-RO"/>
        </w:rPr>
        <w:t>Dreptul protecției consumatorului</w:t>
      </w:r>
      <w:r w:rsidRPr="00866277">
        <w:rPr>
          <w:rFonts w:eastAsia="Times New Roman"/>
          <w:lang w:val="ro-RO"/>
        </w:rPr>
        <w:t xml:space="preserve">’, programe de licență/master care au module/subiecte privind Protecția consumatorului incluse în </w:t>
      </w:r>
      <w:proofErr w:type="spellStart"/>
      <w:r w:rsidRPr="00866277">
        <w:rPr>
          <w:rFonts w:eastAsia="Times New Roman"/>
          <w:lang w:val="ro-RO"/>
        </w:rPr>
        <w:t>curricula</w:t>
      </w:r>
      <w:proofErr w:type="spellEnd"/>
      <w:r w:rsidRPr="00866277">
        <w:rPr>
          <w:rFonts w:eastAsia="Times New Roman"/>
          <w:lang w:val="ro-RO"/>
        </w:rPr>
        <w:t xml:space="preserve"> la disciplinele Drept economic/Dreptul afacerilor care studiază de 150 de studenți.</w:t>
      </w:r>
    </w:p>
    <w:p w:rsidR="00544235" w:rsidRPr="00866277" w:rsidRDefault="00544235" w:rsidP="00C2236E">
      <w:pPr>
        <w:tabs>
          <w:tab w:val="num" w:pos="429"/>
        </w:tabs>
        <w:ind w:firstLine="720"/>
        <w:jc w:val="both"/>
        <w:rPr>
          <w:rFonts w:eastAsia="Times New Roman"/>
          <w:lang w:val="ro-RO"/>
        </w:rPr>
      </w:pPr>
      <w:r w:rsidRPr="00866277">
        <w:rPr>
          <w:rFonts w:eastAsia="Times New Roman"/>
          <w:lang w:val="ro-RO"/>
        </w:rPr>
        <w:t xml:space="preserve">7) La </w:t>
      </w:r>
      <w:r w:rsidRPr="00C5279B">
        <w:rPr>
          <w:rFonts w:eastAsia="Times New Roman"/>
          <w:u w:val="single"/>
          <w:lang w:val="ro-RO"/>
        </w:rPr>
        <w:t>Universitatea de Stat de Educație Fizică și Sport</w:t>
      </w:r>
      <w:r w:rsidRPr="00866277">
        <w:rPr>
          <w:rFonts w:eastAsia="Times New Roman"/>
          <w:lang w:val="ro-RO"/>
        </w:rPr>
        <w:t xml:space="preserve"> la ciclul II se studiază modulul ,,Protecția Consumatorilor” ca disciplină opțională, specialitatea ,,Marketing în sport”.</w:t>
      </w:r>
    </w:p>
    <w:p w:rsidR="00544235" w:rsidRPr="00866277" w:rsidRDefault="00544235" w:rsidP="00C2236E">
      <w:pPr>
        <w:tabs>
          <w:tab w:val="num" w:pos="429"/>
        </w:tabs>
        <w:ind w:firstLine="720"/>
        <w:jc w:val="both"/>
        <w:rPr>
          <w:rFonts w:eastAsia="Times New Roman"/>
          <w:lang w:val="ro-RO"/>
        </w:rPr>
      </w:pPr>
      <w:r w:rsidRPr="00866277">
        <w:rPr>
          <w:rFonts w:eastAsia="Times New Roman"/>
          <w:lang w:val="ro-RO"/>
        </w:rPr>
        <w:t xml:space="preserve">8) </w:t>
      </w:r>
      <w:r w:rsidRPr="00C5279B">
        <w:rPr>
          <w:rFonts w:eastAsia="Times New Roman"/>
          <w:u w:val="single"/>
          <w:lang w:val="ro-RO"/>
        </w:rPr>
        <w:t>La Universitatea de Stat ,,Bogdan Petriceicu Hașdeu” din Cahul</w:t>
      </w:r>
      <w:r w:rsidRPr="00866277">
        <w:rPr>
          <w:rFonts w:eastAsia="Times New Roman"/>
          <w:lang w:val="ro-RO"/>
        </w:rPr>
        <w:t xml:space="preserve"> la specialitatea Business și administrare (licență) cursul Dreptul comercial, Planificarea și Gestiunea Întreprinderii Industriale și Managementul calității au componenta ,,Protecția/drepturile consumatorului” a și la specialitățile Gestiunea financiar-contabilă a afacerii (master) și </w:t>
      </w:r>
      <w:proofErr w:type="spellStart"/>
      <w:r w:rsidRPr="00866277">
        <w:rPr>
          <w:rFonts w:eastAsia="Times New Roman"/>
          <w:lang w:val="ro-RO"/>
        </w:rPr>
        <w:t>Antreprenoriat</w:t>
      </w:r>
      <w:proofErr w:type="spellEnd"/>
      <w:r w:rsidRPr="00866277">
        <w:rPr>
          <w:rFonts w:eastAsia="Times New Roman"/>
          <w:lang w:val="ro-RO"/>
        </w:rPr>
        <w:t xml:space="preserve"> și administrarea afacerilor (master) la cursul Drept comercial se studiază componenta Protecția consumatorului.</w:t>
      </w:r>
    </w:p>
    <w:p w:rsidR="00544235" w:rsidRPr="00866277" w:rsidRDefault="00544235" w:rsidP="00C2236E">
      <w:pPr>
        <w:tabs>
          <w:tab w:val="num" w:pos="429"/>
        </w:tabs>
        <w:ind w:firstLine="720"/>
        <w:jc w:val="both"/>
        <w:rPr>
          <w:rFonts w:eastAsia="Times New Roman"/>
          <w:lang w:val="ro-RO"/>
        </w:rPr>
      </w:pPr>
      <w:r w:rsidRPr="00866277">
        <w:rPr>
          <w:rFonts w:eastAsia="Times New Roman"/>
          <w:lang w:val="ro-RO"/>
        </w:rPr>
        <w:t xml:space="preserve">9) La </w:t>
      </w:r>
      <w:r w:rsidRPr="00C5279B">
        <w:rPr>
          <w:rFonts w:eastAsia="Times New Roman"/>
          <w:u w:val="single"/>
          <w:lang w:val="ro-RO"/>
        </w:rPr>
        <w:t>Universitatea A</w:t>
      </w:r>
      <w:r w:rsidR="00C5279B">
        <w:rPr>
          <w:rFonts w:eastAsia="Times New Roman"/>
          <w:u w:val="single"/>
          <w:lang w:val="ro-RO"/>
        </w:rPr>
        <w:t xml:space="preserve">cademiei de Științe a Moldovei </w:t>
      </w:r>
      <w:r w:rsidRPr="00C5279B">
        <w:rPr>
          <w:rFonts w:eastAsia="Times New Roman"/>
          <w:u w:val="single"/>
          <w:lang w:val="ro-RO"/>
        </w:rPr>
        <w:t xml:space="preserve"> ,,</w:t>
      </w:r>
      <w:proofErr w:type="spellStart"/>
      <w:r w:rsidRPr="00C5279B">
        <w:rPr>
          <w:rFonts w:eastAsia="Times New Roman"/>
          <w:u w:val="single"/>
          <w:lang w:val="ro-RO"/>
        </w:rPr>
        <w:t>D.Cantemir</w:t>
      </w:r>
      <w:proofErr w:type="spellEnd"/>
      <w:r w:rsidRPr="00C5279B">
        <w:rPr>
          <w:rFonts w:eastAsia="Times New Roman"/>
          <w:u w:val="single"/>
          <w:lang w:val="ro-RO"/>
        </w:rPr>
        <w:t>”</w:t>
      </w:r>
      <w:r w:rsidRPr="00866277">
        <w:rPr>
          <w:rFonts w:eastAsia="Times New Roman"/>
          <w:lang w:val="ro-RO"/>
        </w:rPr>
        <w:t xml:space="preserve"> la ciclul II, cursul Protecția consumatorului se studiază la disciplinele Responsabilitatea social corporativă și Etica afacerilor</w:t>
      </w:r>
      <w:r w:rsidRPr="00866277">
        <w:rPr>
          <w:lang w:val="ro-RO"/>
        </w:rPr>
        <w:t xml:space="preserve"> </w:t>
      </w:r>
      <w:r w:rsidRPr="00866277">
        <w:rPr>
          <w:rFonts w:eastAsia="Times New Roman"/>
          <w:lang w:val="ro-RO"/>
        </w:rPr>
        <w:t>Managementul calității produselor alimentare, Expertiza ecologică a mărfurilor de consum în cadrul programelor Bioeconomie și Economie Ecologică, Științe ale mediului.</w:t>
      </w:r>
      <w:r w:rsidRPr="00866277">
        <w:rPr>
          <w:lang w:val="ro-RO"/>
        </w:rPr>
        <w:t xml:space="preserve"> </w:t>
      </w:r>
      <w:r w:rsidRPr="00866277">
        <w:rPr>
          <w:rFonts w:eastAsia="Times New Roman"/>
          <w:lang w:val="ro-RO"/>
        </w:rPr>
        <w:t>În cadrul USDC s-au organizat seminare axate pe problemele protecției consumatorului pentru studenții de la programele de studii Chimie, Ecologie și Biologie moleculară.</w:t>
      </w:r>
    </w:p>
    <w:p w:rsidR="00544235" w:rsidRPr="00866277" w:rsidRDefault="00544235" w:rsidP="00C2236E">
      <w:pPr>
        <w:tabs>
          <w:tab w:val="num" w:pos="429"/>
        </w:tabs>
        <w:ind w:firstLine="720"/>
        <w:jc w:val="both"/>
        <w:rPr>
          <w:rFonts w:eastAsia="Times New Roman"/>
          <w:i/>
          <w:lang w:val="ro-RO"/>
        </w:rPr>
      </w:pPr>
      <w:r w:rsidRPr="00866277">
        <w:rPr>
          <w:rFonts w:eastAsia="Times New Roman"/>
          <w:lang w:val="ro-RO"/>
        </w:rPr>
        <w:t xml:space="preserve">10) La </w:t>
      </w:r>
      <w:r w:rsidRPr="00C5279B">
        <w:rPr>
          <w:rFonts w:eastAsia="Times New Roman"/>
          <w:u w:val="single"/>
          <w:lang w:val="ro-RO"/>
        </w:rPr>
        <w:t>Academia, Ștefan cel Mare”</w:t>
      </w:r>
      <w:r w:rsidRPr="00866277">
        <w:rPr>
          <w:rFonts w:eastAsia="Times New Roman"/>
          <w:lang w:val="ro-RO"/>
        </w:rPr>
        <w:t xml:space="preserve"> la specialitatea Drept/studii superioare de master (masterat de profesionalizare 120 credite) este studiat cursul Protecția dreptului consumatorului.  De asemenea, pe parcursul anului au fost instruiți studenți și cursanți cu tematica </w:t>
      </w:r>
      <w:r w:rsidRPr="00866277">
        <w:rPr>
          <w:rFonts w:eastAsia="Times New Roman"/>
          <w:i/>
          <w:lang w:val="ro-RO"/>
        </w:rPr>
        <w:t>Particularitățile prevenirii și descoperirii infracțiunilor din sfera de protecție a consumatorilor.</w:t>
      </w:r>
    </w:p>
    <w:p w:rsidR="00544235" w:rsidRPr="00866277" w:rsidRDefault="00544235" w:rsidP="00C2236E">
      <w:pPr>
        <w:ind w:firstLine="720"/>
        <w:jc w:val="both"/>
        <w:rPr>
          <w:rFonts w:eastAsia="Times New Roman"/>
          <w:lang w:val="ro-RO" w:eastAsia="ru-RU"/>
        </w:rPr>
      </w:pPr>
      <w:r w:rsidRPr="00866277">
        <w:rPr>
          <w:rFonts w:eastAsia="Times New Roman"/>
          <w:lang w:val="ro-RO"/>
        </w:rPr>
        <w:lastRenderedPageBreak/>
        <w:t xml:space="preserve">11) </w:t>
      </w:r>
      <w:r w:rsidRPr="00866277">
        <w:rPr>
          <w:rFonts w:eastAsia="Times New Roman"/>
          <w:lang w:val="ro-RO" w:eastAsia="ru-RU"/>
        </w:rPr>
        <w:t xml:space="preserve">În cadrul activităților didactice de la </w:t>
      </w:r>
      <w:r w:rsidRPr="00C5279B">
        <w:rPr>
          <w:rFonts w:eastAsia="Times New Roman"/>
          <w:u w:val="single"/>
          <w:lang w:val="ro-RO" w:eastAsia="ru-RU"/>
        </w:rPr>
        <w:t>Universitatea Tehnică a Moldovei</w:t>
      </w:r>
      <w:r w:rsidRPr="00866277">
        <w:rPr>
          <w:rFonts w:eastAsia="Times New Roman"/>
          <w:lang w:val="ro-RO" w:eastAsia="ru-RU"/>
        </w:rPr>
        <w:t xml:space="preserve">, preponderent la disciplina de </w:t>
      </w:r>
      <w:r w:rsidRPr="00866277">
        <w:rPr>
          <w:rFonts w:eastAsia="Times New Roman"/>
          <w:i/>
          <w:lang w:val="ro-RO" w:eastAsia="ru-RU"/>
        </w:rPr>
        <w:t>Marketing</w:t>
      </w:r>
      <w:r w:rsidRPr="00866277">
        <w:rPr>
          <w:rFonts w:eastAsia="Times New Roman"/>
          <w:lang w:val="ro-RO" w:eastAsia="ru-RU"/>
        </w:rPr>
        <w:t xml:space="preserve">, dar și la orele de grupă, au fost realizate acțiuni de informare a studenților despre drepturile lor în calitate de consumator </w:t>
      </w:r>
      <w:r w:rsidRPr="00866277">
        <w:rPr>
          <w:rFonts w:eastAsia="Times New Roman"/>
          <w:lang w:val="ro-RO"/>
        </w:rPr>
        <w:t>etc.</w:t>
      </w:r>
    </w:p>
    <w:p w:rsidR="00544235" w:rsidRPr="00866277" w:rsidRDefault="00544235" w:rsidP="00C2236E">
      <w:pPr>
        <w:ind w:firstLine="720"/>
        <w:jc w:val="both"/>
        <w:rPr>
          <w:rFonts w:eastAsia="Times New Roman"/>
          <w:lang w:val="ro-RO" w:eastAsia="ru-RU"/>
        </w:rPr>
      </w:pPr>
      <w:r w:rsidRPr="00866277">
        <w:rPr>
          <w:rFonts w:eastAsia="Times New Roman"/>
          <w:lang w:val="ro-RO" w:eastAsia="ru-RU"/>
        </w:rPr>
        <w:t xml:space="preserve">În scopul </w:t>
      </w:r>
      <w:proofErr w:type="spellStart"/>
      <w:r w:rsidRPr="00866277">
        <w:rPr>
          <w:rFonts w:eastAsia="Times New Roman"/>
          <w:lang w:val="ro-RO" w:eastAsia="ru-RU"/>
        </w:rPr>
        <w:t>creşterii</w:t>
      </w:r>
      <w:proofErr w:type="spellEnd"/>
      <w:r w:rsidRPr="00866277">
        <w:rPr>
          <w:rFonts w:eastAsia="Times New Roman"/>
          <w:lang w:val="ro-RO" w:eastAsia="ru-RU"/>
        </w:rPr>
        <w:t xml:space="preserve"> </w:t>
      </w:r>
      <w:proofErr w:type="spellStart"/>
      <w:r w:rsidRPr="00866277">
        <w:rPr>
          <w:rFonts w:eastAsia="Times New Roman"/>
          <w:lang w:val="ro-RO" w:eastAsia="ru-RU"/>
        </w:rPr>
        <w:t>capacităţii</w:t>
      </w:r>
      <w:proofErr w:type="spellEnd"/>
      <w:r w:rsidRPr="00866277">
        <w:rPr>
          <w:rFonts w:eastAsia="Times New Roman"/>
          <w:lang w:val="ro-RO" w:eastAsia="ru-RU"/>
        </w:rPr>
        <w:t xml:space="preserve"> decizionale a consumatorilor, în instituțiile de învățământ superior s-au </w:t>
      </w:r>
      <w:proofErr w:type="spellStart"/>
      <w:r w:rsidRPr="00866277">
        <w:rPr>
          <w:rFonts w:eastAsia="Times New Roman"/>
          <w:lang w:val="ro-RO" w:eastAsia="ru-RU"/>
        </w:rPr>
        <w:t>desfăşurat</w:t>
      </w:r>
      <w:proofErr w:type="spellEnd"/>
      <w:r w:rsidRPr="00866277">
        <w:rPr>
          <w:rFonts w:eastAsia="Times New Roman"/>
          <w:lang w:val="ro-RO" w:eastAsia="ru-RU"/>
        </w:rPr>
        <w:t xml:space="preserve"> </w:t>
      </w:r>
      <w:proofErr w:type="spellStart"/>
      <w:r w:rsidRPr="00866277">
        <w:rPr>
          <w:rFonts w:eastAsia="Times New Roman"/>
          <w:lang w:val="ro-RO" w:eastAsia="ru-RU"/>
        </w:rPr>
        <w:t>acţiuni</w:t>
      </w:r>
      <w:proofErr w:type="spellEnd"/>
      <w:r w:rsidRPr="00866277">
        <w:rPr>
          <w:rFonts w:eastAsia="Times New Roman"/>
          <w:lang w:val="ro-RO" w:eastAsia="ru-RU"/>
        </w:rPr>
        <w:t xml:space="preserve"> pentru informarea consumatorilor, despre drepturile lor </w:t>
      </w:r>
      <w:proofErr w:type="spellStart"/>
      <w:r w:rsidRPr="00866277">
        <w:rPr>
          <w:rFonts w:eastAsia="Times New Roman"/>
          <w:lang w:val="ro-RO" w:eastAsia="ru-RU"/>
        </w:rPr>
        <w:t>şi</w:t>
      </w:r>
      <w:proofErr w:type="spellEnd"/>
      <w:r w:rsidRPr="00866277">
        <w:rPr>
          <w:rFonts w:eastAsia="Times New Roman"/>
          <w:lang w:val="ro-RO" w:eastAsia="ru-RU"/>
        </w:rPr>
        <w:t xml:space="preserve"> despre produsele </w:t>
      </w:r>
      <w:proofErr w:type="spellStart"/>
      <w:r w:rsidRPr="00866277">
        <w:rPr>
          <w:rFonts w:eastAsia="Times New Roman"/>
          <w:lang w:val="ro-RO" w:eastAsia="ru-RU"/>
        </w:rPr>
        <w:t>şi</w:t>
      </w:r>
      <w:proofErr w:type="spellEnd"/>
      <w:r w:rsidRPr="00866277">
        <w:rPr>
          <w:rFonts w:eastAsia="Times New Roman"/>
          <w:lang w:val="ro-RO" w:eastAsia="ru-RU"/>
        </w:rPr>
        <w:t xml:space="preserve"> serviciile plasate pe </w:t>
      </w:r>
      <w:proofErr w:type="spellStart"/>
      <w:r w:rsidRPr="00866277">
        <w:rPr>
          <w:rFonts w:eastAsia="Times New Roman"/>
          <w:lang w:val="ro-RO" w:eastAsia="ru-RU"/>
        </w:rPr>
        <w:t>piaţă</w:t>
      </w:r>
      <w:proofErr w:type="spellEnd"/>
      <w:r w:rsidRPr="00866277">
        <w:rPr>
          <w:rFonts w:eastAsia="Times New Roman"/>
          <w:lang w:val="ro-RO" w:eastAsia="ru-RU"/>
        </w:rPr>
        <w:t>. Astfel de acțiuni au fost organizate la:</w:t>
      </w:r>
    </w:p>
    <w:p w:rsidR="00544235" w:rsidRPr="00C5279B" w:rsidRDefault="00544235" w:rsidP="00C2236E">
      <w:pPr>
        <w:ind w:firstLine="720"/>
        <w:jc w:val="both"/>
        <w:rPr>
          <w:rFonts w:eastAsia="Times New Roman"/>
          <w:u w:val="single"/>
          <w:lang w:val="ro-RO" w:eastAsia="ru-RU"/>
        </w:rPr>
      </w:pPr>
      <w:r w:rsidRPr="00C5279B">
        <w:rPr>
          <w:rFonts w:eastAsia="Times New Roman"/>
          <w:u w:val="single"/>
          <w:lang w:val="ro-RO" w:eastAsia="ru-RU"/>
        </w:rPr>
        <w:t>Academia de Studii Economice din Moldova:</w:t>
      </w:r>
    </w:p>
    <w:p w:rsidR="00544235" w:rsidRPr="00866277" w:rsidRDefault="00544235" w:rsidP="00C2236E">
      <w:pPr>
        <w:ind w:firstLine="720"/>
        <w:jc w:val="both"/>
        <w:rPr>
          <w:rFonts w:eastAsia="Times New Roman"/>
          <w:lang w:val="ro-RO" w:eastAsia="ru-RU"/>
        </w:rPr>
      </w:pPr>
      <w:r w:rsidRPr="00866277">
        <w:rPr>
          <w:rFonts w:eastAsia="Times New Roman"/>
          <w:lang w:val="ro-RO" w:eastAsia="ru-RU"/>
        </w:rPr>
        <w:t>– Masă rotundă dedicată Zilei Mondiale a Consumatorului în parteneriat cu Agenția pentru Protecție Consumatorilor și Supravegherii Pieței;</w:t>
      </w:r>
    </w:p>
    <w:p w:rsidR="00544235" w:rsidRPr="00866277" w:rsidRDefault="00544235" w:rsidP="00C2236E">
      <w:pPr>
        <w:ind w:firstLine="720"/>
        <w:jc w:val="both"/>
        <w:rPr>
          <w:rFonts w:eastAsia="Times New Roman"/>
          <w:lang w:val="ro-RO" w:eastAsia="ru-RU"/>
        </w:rPr>
      </w:pPr>
      <w:r w:rsidRPr="00866277">
        <w:rPr>
          <w:rFonts w:eastAsia="Times New Roman"/>
          <w:lang w:val="ro-RO" w:eastAsia="ru-RU"/>
        </w:rPr>
        <w:t>– Masă rotundă dedicată Comerțului Electronic cu participarea mediului de afaceri și mediului academic, organizat de proiectul EU4CONS;</w:t>
      </w:r>
    </w:p>
    <w:p w:rsidR="00544235" w:rsidRPr="00866277" w:rsidRDefault="00544235" w:rsidP="00C2236E">
      <w:pPr>
        <w:ind w:firstLine="720"/>
        <w:jc w:val="both"/>
        <w:rPr>
          <w:rFonts w:eastAsia="Times New Roman"/>
          <w:lang w:val="ro-RO" w:eastAsia="ru-RU"/>
        </w:rPr>
      </w:pPr>
      <w:r w:rsidRPr="00866277">
        <w:rPr>
          <w:rFonts w:eastAsia="Times New Roman"/>
          <w:lang w:val="ro-RO" w:eastAsia="ru-RU"/>
        </w:rPr>
        <w:t>– Ciclu de instruire a judecătorilor Judecătoriei Chișinău, pe tematica Dreptului protecției consumatorilor.</w:t>
      </w:r>
    </w:p>
    <w:p w:rsidR="00544235" w:rsidRPr="00C5279B" w:rsidRDefault="00544235" w:rsidP="00C2236E">
      <w:pPr>
        <w:ind w:firstLine="720"/>
        <w:jc w:val="both"/>
        <w:rPr>
          <w:rFonts w:eastAsia="Times New Roman"/>
          <w:u w:val="single"/>
          <w:lang w:val="ro-RO" w:eastAsia="ru-RU"/>
        </w:rPr>
      </w:pPr>
      <w:r w:rsidRPr="00C5279B">
        <w:rPr>
          <w:rFonts w:eastAsia="Times New Roman"/>
          <w:u w:val="single"/>
          <w:lang w:val="ro-RO" w:eastAsia="ru-RU"/>
        </w:rPr>
        <w:t xml:space="preserve">Universitatea de Stat de Educație Fizică și Sport: </w:t>
      </w:r>
    </w:p>
    <w:p w:rsidR="00544235" w:rsidRPr="00866277" w:rsidRDefault="00544235" w:rsidP="00C2236E">
      <w:pPr>
        <w:ind w:firstLine="720"/>
        <w:jc w:val="both"/>
        <w:rPr>
          <w:rFonts w:eastAsia="Times New Roman"/>
          <w:lang w:val="ro-RO" w:eastAsia="ru-RU"/>
        </w:rPr>
      </w:pPr>
      <w:r w:rsidRPr="00866277">
        <w:rPr>
          <w:rFonts w:eastAsia="Times New Roman"/>
          <w:lang w:val="ro-RO" w:eastAsia="ru-RU"/>
        </w:rPr>
        <w:t>– Masă rotundă Bunele practici, inclusiv ale Uniunii Europene, privind supravegherea pieței și protecția consumatorilor.</w:t>
      </w:r>
    </w:p>
    <w:p w:rsidR="00544235" w:rsidRPr="00C5279B" w:rsidRDefault="00544235" w:rsidP="00C2236E">
      <w:pPr>
        <w:ind w:firstLine="720"/>
        <w:jc w:val="both"/>
        <w:rPr>
          <w:rFonts w:eastAsia="Times New Roman"/>
          <w:u w:val="single"/>
          <w:lang w:val="ro-RO" w:eastAsia="ru-RU"/>
        </w:rPr>
      </w:pPr>
      <w:r w:rsidRPr="00C5279B">
        <w:rPr>
          <w:rFonts w:eastAsia="Times New Roman"/>
          <w:u w:val="single"/>
          <w:lang w:val="ro-RO" w:eastAsia="ru-RU"/>
        </w:rPr>
        <w:t>Universitatea de Studii Politice și Economice Europene  ,,Constantin Stere”:</w:t>
      </w:r>
    </w:p>
    <w:p w:rsidR="00544235" w:rsidRPr="00866277" w:rsidRDefault="00544235" w:rsidP="00C2236E">
      <w:pPr>
        <w:ind w:firstLine="720"/>
        <w:jc w:val="both"/>
        <w:rPr>
          <w:rFonts w:eastAsia="Times New Roman"/>
          <w:lang w:val="ro-RO" w:eastAsia="ru-RU"/>
        </w:rPr>
      </w:pPr>
      <w:r w:rsidRPr="00866277">
        <w:rPr>
          <w:rFonts w:eastAsia="Times New Roman"/>
          <w:lang w:val="ro-RO" w:eastAsia="ru-RU"/>
        </w:rPr>
        <w:t>– Masă rotundă dedicată Zilei Mondiale a Consumatorului;</w:t>
      </w:r>
    </w:p>
    <w:p w:rsidR="00544235" w:rsidRPr="00866277" w:rsidRDefault="00544235" w:rsidP="00C2236E">
      <w:pPr>
        <w:ind w:firstLine="720"/>
        <w:jc w:val="both"/>
        <w:rPr>
          <w:b/>
          <w:lang w:val="ro-RO"/>
        </w:rPr>
      </w:pPr>
      <w:r w:rsidRPr="00866277">
        <w:rPr>
          <w:rFonts w:eastAsia="Times New Roman"/>
          <w:lang w:val="ro-RO" w:eastAsia="ru-RU"/>
        </w:rPr>
        <w:t>– Distribuirea pliantelor elaborate de un grup de inițiativă studențesc, în perimetrul și în afara instituției.</w:t>
      </w:r>
    </w:p>
    <w:p w:rsidR="008020B6" w:rsidRDefault="008020B6" w:rsidP="00641FA0">
      <w:pPr>
        <w:ind w:firstLine="720"/>
        <w:jc w:val="both"/>
        <w:rPr>
          <w:rFonts w:eastAsia="Times New Roman"/>
          <w:b/>
          <w:bCs/>
          <w:lang w:val="ro-RO"/>
        </w:rPr>
      </w:pPr>
    </w:p>
    <w:p w:rsidR="00C5279B" w:rsidRDefault="0065583F" w:rsidP="00C5279B">
      <w:pPr>
        <w:ind w:firstLine="720"/>
        <w:jc w:val="both"/>
        <w:rPr>
          <w:rFonts w:eastAsia="Times New Roman"/>
          <w:b/>
          <w:bCs/>
          <w:lang w:val="ro-RO"/>
        </w:rPr>
      </w:pPr>
      <w:r w:rsidRPr="00866277">
        <w:rPr>
          <w:rFonts w:eastAsia="Times New Roman"/>
          <w:b/>
          <w:bCs/>
          <w:lang w:val="ro-RO"/>
        </w:rPr>
        <w:t xml:space="preserve">3.5. Informarea mediului de afaceri privind </w:t>
      </w:r>
      <w:r w:rsidR="00130EEB" w:rsidRPr="00866277">
        <w:rPr>
          <w:rFonts w:eastAsia="Times New Roman"/>
          <w:b/>
          <w:bCs/>
          <w:lang w:val="ro-RO"/>
        </w:rPr>
        <w:t>cerințele</w:t>
      </w:r>
      <w:r w:rsidRPr="00866277">
        <w:rPr>
          <w:rFonts w:eastAsia="Times New Roman"/>
          <w:b/>
          <w:bCs/>
          <w:lang w:val="ro-RO"/>
        </w:rPr>
        <w:t xml:space="preserve"> aplicabile, regulile de </w:t>
      </w:r>
      <w:r w:rsidR="00130EEB" w:rsidRPr="00866277">
        <w:rPr>
          <w:rFonts w:eastAsia="Times New Roman"/>
          <w:b/>
          <w:bCs/>
          <w:lang w:val="ro-RO"/>
        </w:rPr>
        <w:t>comerț</w:t>
      </w:r>
      <w:r w:rsidRPr="00866277">
        <w:rPr>
          <w:rFonts w:eastAsia="Times New Roman"/>
          <w:b/>
          <w:bCs/>
          <w:lang w:val="ro-RO"/>
        </w:rPr>
        <w:t xml:space="preserve"> </w:t>
      </w:r>
      <w:proofErr w:type="spellStart"/>
      <w:r w:rsidRPr="00866277">
        <w:rPr>
          <w:rFonts w:eastAsia="Times New Roman"/>
          <w:b/>
          <w:bCs/>
          <w:lang w:val="ro-RO"/>
        </w:rPr>
        <w:t>şi</w:t>
      </w:r>
      <w:proofErr w:type="spellEnd"/>
      <w:r w:rsidRPr="00866277">
        <w:rPr>
          <w:rFonts w:eastAsia="Times New Roman"/>
          <w:b/>
          <w:bCs/>
          <w:lang w:val="ro-RO"/>
        </w:rPr>
        <w:t xml:space="preserve"> de plasare pe </w:t>
      </w:r>
      <w:r w:rsidR="00130EEB" w:rsidRPr="00866277">
        <w:rPr>
          <w:rFonts w:eastAsia="Times New Roman"/>
          <w:b/>
          <w:bCs/>
          <w:lang w:val="ro-RO"/>
        </w:rPr>
        <w:t>piață</w:t>
      </w:r>
      <w:r w:rsidRPr="00866277">
        <w:rPr>
          <w:rFonts w:eastAsia="Times New Roman"/>
          <w:b/>
          <w:bCs/>
          <w:lang w:val="ro-RO"/>
        </w:rPr>
        <w:t xml:space="preserve"> a produselor </w:t>
      </w:r>
      <w:proofErr w:type="spellStart"/>
      <w:r w:rsidRPr="00866277">
        <w:rPr>
          <w:rFonts w:eastAsia="Times New Roman"/>
          <w:b/>
          <w:bCs/>
          <w:lang w:val="ro-RO"/>
        </w:rPr>
        <w:t>şi</w:t>
      </w:r>
      <w:proofErr w:type="spellEnd"/>
      <w:r w:rsidRPr="00866277">
        <w:rPr>
          <w:rFonts w:eastAsia="Times New Roman"/>
          <w:b/>
          <w:bCs/>
          <w:lang w:val="ro-RO"/>
        </w:rPr>
        <w:t xml:space="preserve"> serviciilor</w:t>
      </w:r>
    </w:p>
    <w:p w:rsidR="00C2236E" w:rsidRPr="00866277" w:rsidRDefault="00C2236E" w:rsidP="00C5279B">
      <w:pPr>
        <w:ind w:firstLine="720"/>
        <w:jc w:val="both"/>
        <w:rPr>
          <w:lang w:val="ro-RO"/>
        </w:rPr>
      </w:pPr>
      <w:r w:rsidRPr="008020B6">
        <w:rPr>
          <w:i/>
          <w:lang w:val="ro-RO"/>
        </w:rPr>
        <w:t>Cu privire la a</w:t>
      </w:r>
      <w:r w:rsidR="00565340" w:rsidRPr="008020B6">
        <w:rPr>
          <w:i/>
          <w:lang w:val="ro-RO"/>
        </w:rPr>
        <w:t xml:space="preserve">cordarea </w:t>
      </w:r>
      <w:r w:rsidR="00092AB5" w:rsidRPr="008020B6">
        <w:rPr>
          <w:i/>
          <w:lang w:val="ro-RO"/>
        </w:rPr>
        <w:t>consultanței</w:t>
      </w:r>
      <w:r w:rsidR="00565340" w:rsidRPr="008020B6">
        <w:rPr>
          <w:i/>
          <w:lang w:val="ro-RO"/>
        </w:rPr>
        <w:t xml:space="preserve"> </w:t>
      </w:r>
      <w:proofErr w:type="spellStart"/>
      <w:r w:rsidR="00565340" w:rsidRPr="008020B6">
        <w:rPr>
          <w:i/>
          <w:lang w:val="ro-RO"/>
        </w:rPr>
        <w:t>şi</w:t>
      </w:r>
      <w:proofErr w:type="spellEnd"/>
      <w:r w:rsidR="00565340" w:rsidRPr="008020B6">
        <w:rPr>
          <w:i/>
          <w:lang w:val="ro-RO"/>
        </w:rPr>
        <w:t xml:space="preserve"> </w:t>
      </w:r>
      <w:r w:rsidR="00092AB5" w:rsidRPr="008020B6">
        <w:rPr>
          <w:i/>
          <w:lang w:val="ro-RO"/>
        </w:rPr>
        <w:t>asistenței</w:t>
      </w:r>
      <w:r w:rsidR="00565340" w:rsidRPr="008020B6">
        <w:rPr>
          <w:bCs/>
          <w:i/>
          <w:lang w:val="ro-RO"/>
        </w:rPr>
        <w:t xml:space="preserve"> mediului de afaceri, inclusiv furnizorilor de servicii, privind </w:t>
      </w:r>
      <w:r w:rsidR="00092AB5" w:rsidRPr="008020B6">
        <w:rPr>
          <w:bCs/>
          <w:i/>
          <w:lang w:val="ro-RO"/>
        </w:rPr>
        <w:t>cerințele</w:t>
      </w:r>
      <w:r w:rsidR="00565340" w:rsidRPr="008020B6">
        <w:rPr>
          <w:bCs/>
          <w:i/>
          <w:lang w:val="ro-RO"/>
        </w:rPr>
        <w:t xml:space="preserve"> aplicabile produselor </w:t>
      </w:r>
      <w:proofErr w:type="spellStart"/>
      <w:r w:rsidR="00565340" w:rsidRPr="008020B6">
        <w:rPr>
          <w:bCs/>
          <w:i/>
          <w:lang w:val="ro-RO"/>
        </w:rPr>
        <w:t>şi</w:t>
      </w:r>
      <w:proofErr w:type="spellEnd"/>
      <w:r w:rsidR="00565340" w:rsidRPr="008020B6">
        <w:rPr>
          <w:bCs/>
          <w:i/>
          <w:lang w:val="ro-RO"/>
        </w:rPr>
        <w:t xml:space="preserve"> serviciilor</w:t>
      </w:r>
      <w:r w:rsidR="00565340" w:rsidRPr="00866277">
        <w:rPr>
          <w:lang w:val="ro-RO"/>
        </w:rPr>
        <w:t xml:space="preserve"> </w:t>
      </w:r>
      <w:r w:rsidR="00565340" w:rsidRPr="00866277">
        <w:rPr>
          <w:lang w:val="ro-RO" w:eastAsia="ro-RO"/>
        </w:rPr>
        <w:t>(</w:t>
      </w:r>
      <w:r w:rsidR="00565340" w:rsidRPr="00866277">
        <w:rPr>
          <w:b/>
          <w:lang w:val="ro-RO" w:eastAsia="ro-RO"/>
        </w:rPr>
        <w:t xml:space="preserve">pct. </w:t>
      </w:r>
      <w:r w:rsidR="00565340" w:rsidRPr="00866277">
        <w:rPr>
          <w:b/>
          <w:lang w:val="ro-RO"/>
        </w:rPr>
        <w:t>3.5.1</w:t>
      </w:r>
      <w:r w:rsidR="00641FA0" w:rsidRPr="00866277">
        <w:rPr>
          <w:lang w:val="ro-RO"/>
        </w:rPr>
        <w:t xml:space="preserve">) relevăm următoarele acțiuni ale instituțiilor pentru care a fost atribuită respectiva sarcină. </w:t>
      </w:r>
    </w:p>
    <w:p w:rsidR="004D05B5" w:rsidRPr="00866277" w:rsidRDefault="004D05B5" w:rsidP="000D355A">
      <w:pPr>
        <w:pStyle w:val="ListParagraph"/>
        <w:tabs>
          <w:tab w:val="left" w:pos="-142"/>
          <w:tab w:val="left" w:pos="34"/>
          <w:tab w:val="left" w:pos="851"/>
          <w:tab w:val="left" w:pos="10065"/>
        </w:tabs>
        <w:spacing w:after="0" w:line="240" w:lineRule="auto"/>
        <w:ind w:left="0" w:firstLine="720"/>
        <w:contextualSpacing w:val="0"/>
        <w:jc w:val="both"/>
        <w:rPr>
          <w:rFonts w:ascii="Times New Roman" w:hAnsi="Times New Roman"/>
          <w:sz w:val="24"/>
          <w:szCs w:val="24"/>
          <w:lang w:val="ro-RO"/>
        </w:rPr>
      </w:pPr>
      <w:r w:rsidRPr="00866277">
        <w:rPr>
          <w:rFonts w:ascii="Times New Roman" w:hAnsi="Times New Roman"/>
          <w:sz w:val="24"/>
          <w:szCs w:val="24"/>
          <w:lang w:val="ro-RO"/>
        </w:rPr>
        <w:t>Pe parcursul anului, specialiștii A</w:t>
      </w:r>
      <w:r w:rsidR="008020B6">
        <w:rPr>
          <w:rFonts w:ascii="Times New Roman" w:hAnsi="Times New Roman"/>
          <w:sz w:val="24"/>
          <w:szCs w:val="24"/>
          <w:lang w:val="ro-RO"/>
        </w:rPr>
        <w:t>PCSP</w:t>
      </w:r>
      <w:r w:rsidRPr="00866277">
        <w:rPr>
          <w:rFonts w:ascii="Times New Roman" w:hAnsi="Times New Roman"/>
          <w:sz w:val="24"/>
          <w:szCs w:val="24"/>
          <w:lang w:val="ro-RO"/>
        </w:rPr>
        <w:t xml:space="preserve"> au acordat 1478 </w:t>
      </w:r>
      <w:r w:rsidR="000D355A" w:rsidRPr="00866277">
        <w:rPr>
          <w:rFonts w:ascii="Times New Roman" w:hAnsi="Times New Roman"/>
          <w:sz w:val="24"/>
          <w:szCs w:val="24"/>
          <w:lang w:val="ro-RO"/>
        </w:rPr>
        <w:t xml:space="preserve">consultații agenților economici. </w:t>
      </w:r>
      <w:r w:rsidRPr="00866277">
        <w:rPr>
          <w:rFonts w:ascii="Times New Roman" w:hAnsi="Times New Roman"/>
          <w:sz w:val="24"/>
          <w:szCs w:val="24"/>
          <w:lang w:val="ro-RO"/>
        </w:rPr>
        <w:t xml:space="preserve">În cadrul campaniilor de informare, evenimentelor tematice, vizitelor de consultanță, controalelor, examinării petițiilor, </w:t>
      </w:r>
      <w:r w:rsidRPr="00866277">
        <w:rPr>
          <w:rFonts w:ascii="Times New Roman" w:hAnsi="Times New Roman"/>
          <w:b/>
          <w:sz w:val="24"/>
          <w:szCs w:val="24"/>
          <w:lang w:val="ro-RO"/>
        </w:rPr>
        <w:t>8 mese rotunde organizate</w:t>
      </w:r>
      <w:r w:rsidRPr="00866277">
        <w:rPr>
          <w:rFonts w:ascii="Times New Roman" w:hAnsi="Times New Roman"/>
          <w:sz w:val="24"/>
          <w:szCs w:val="24"/>
          <w:lang w:val="ro-RO"/>
        </w:rPr>
        <w:t xml:space="preserve">, în cadrul Ghișeului unic, la linia telefonică, unde au primit  consultații 1940  agenți economici, </w:t>
      </w:r>
      <w:r w:rsidRPr="00866277">
        <w:rPr>
          <w:rFonts w:ascii="Times New Roman" w:hAnsi="Times New Roman"/>
          <w:bCs/>
          <w:sz w:val="24"/>
          <w:szCs w:val="24"/>
          <w:lang w:val="ro-RO"/>
        </w:rPr>
        <w:t>privind cerințele aplicabile produselor/serviciilor</w:t>
      </w:r>
      <w:r w:rsidRPr="00866277">
        <w:rPr>
          <w:rFonts w:ascii="Times New Roman" w:hAnsi="Times New Roman"/>
          <w:sz w:val="24"/>
          <w:szCs w:val="24"/>
          <w:lang w:val="ro-RO"/>
        </w:rPr>
        <w:t>.</w:t>
      </w:r>
    </w:p>
    <w:p w:rsidR="00641FA0" w:rsidRPr="00866277" w:rsidRDefault="00641FA0" w:rsidP="000D355A">
      <w:pPr>
        <w:ind w:firstLine="720"/>
        <w:jc w:val="both"/>
        <w:rPr>
          <w:lang w:val="ro-MD"/>
        </w:rPr>
      </w:pPr>
      <w:r w:rsidRPr="00866277">
        <w:rPr>
          <w:bCs/>
          <w:lang w:val="ro-MD"/>
        </w:rPr>
        <w:t>D</w:t>
      </w:r>
      <w:r w:rsidRPr="00866277">
        <w:rPr>
          <w:lang w:val="ro-MD"/>
        </w:rPr>
        <w:t>e către IPM și subdiviziunile teritoriale au fost acordate prescripții plivind cerințele dc gestionare corectă a deșeu</w:t>
      </w:r>
      <w:r w:rsidR="008020B6">
        <w:rPr>
          <w:lang w:val="ro-MD"/>
        </w:rPr>
        <w:t>rilor formate, asigurarea condiții</w:t>
      </w:r>
      <w:r w:rsidRPr="00866277">
        <w:rPr>
          <w:lang w:val="ro-MD"/>
        </w:rPr>
        <w:t>lor de păstrare a materiei prime utilizate, inclusiv a ambalajelor.</w:t>
      </w:r>
      <w:r w:rsidR="000D355A" w:rsidRPr="00866277">
        <w:rPr>
          <w:lang w:val="ro-MD"/>
        </w:rPr>
        <w:t xml:space="preserve"> </w:t>
      </w:r>
      <w:r w:rsidRPr="00866277">
        <w:rPr>
          <w:lang w:val="ro-MD"/>
        </w:rPr>
        <w:t>Concomitent la compartimentul deșeuri au fost desfășurate 59 ore ecologice: și s-a participat la 22 emisiuni radio, TV.</w:t>
      </w:r>
    </w:p>
    <w:p w:rsidR="00A02AD7" w:rsidRPr="00866277" w:rsidRDefault="00A02AD7" w:rsidP="00641FA0">
      <w:pPr>
        <w:tabs>
          <w:tab w:val="left" w:pos="673"/>
        </w:tabs>
        <w:ind w:firstLine="720"/>
        <w:jc w:val="both"/>
        <w:rPr>
          <w:bCs/>
          <w:lang w:val="ro-RO"/>
        </w:rPr>
      </w:pPr>
      <w:r w:rsidRPr="00866277">
        <w:rPr>
          <w:bCs/>
          <w:lang w:val="ro-RO"/>
        </w:rPr>
        <w:t>Acțiunile de informare, consultare și asistență a mediului de afaceri privind cerințele aplicabile în domeniile de competență ale ANRCETI, privind regulile de comerț și de plasare pe piață a produselor și serviciilor de comunicații electronice, dar și promovare a respectării legislației relevante, a fost realizată, în anul 2019, de către ANRCETI, în cadrul controalelor planificate/inopinate efectuate la 71 agenți economici.</w:t>
      </w:r>
      <w:r w:rsidR="008020B6">
        <w:rPr>
          <w:bCs/>
          <w:lang w:val="ro-RO"/>
        </w:rPr>
        <w:t xml:space="preserve"> Astfel, î</w:t>
      </w:r>
      <w:r w:rsidRPr="00866277">
        <w:rPr>
          <w:bCs/>
          <w:lang w:val="ro-RO"/>
        </w:rPr>
        <w:t>n cadrul controalelor, specialiștii ANRCETI au acordat furnizorilor consultația și asistența necesară în vederea familiarizării acestora cu prevederile legislației din domeniile de competență ale ANRCETI, inclusiv în partea ce ține de asigurarea calității și securității serviciilor publice de comunicații electronice, și protecția drepturilor consumatorilor/utilizatorilor finali. În cadrul consultărilor s-a pus accentul pe necesitatea asigurării de către furnizori a transparenței tarifelor și condițiilor de furnizare și utilizare a serviciilor, pe respectarea cu strictețe a obligației de informare a consumatorilor/utilizatorilor finali, pe ajustarea contractelor cu clauze contractuale standard la cerințele actelor normative în vigoare, etc.</w:t>
      </w:r>
    </w:p>
    <w:p w:rsidR="00A02AD7" w:rsidRPr="00866277" w:rsidRDefault="00A02AD7" w:rsidP="00641FA0">
      <w:pPr>
        <w:ind w:firstLine="720"/>
        <w:jc w:val="both"/>
        <w:rPr>
          <w:lang w:val="ro-RO"/>
        </w:rPr>
      </w:pPr>
      <w:r w:rsidRPr="00866277">
        <w:rPr>
          <w:lang w:val="ro-RO"/>
        </w:rPr>
        <w:t xml:space="preserve">Prin Hotărârea Consiliului de Administrație al ANRCETI nr.11 din 28 februarie 2019 a fost aprobată Metodologia de măsurare și evaluare a parametrilor de calitate a serviciilor de comunicații electronice accesibile publicului, furnizate prin intermediul rețelelor publice mobile celulare terestre GSM, UMTS și LTE în benzile de frecvențe 800, 900, 1800, 2100 și 2600 MHz (Monitorul Oficial al Republicii Moldova, 2019, nr.94-99, art.509). În baza măsurărilor efectuate conform metodologiei în cauză ANRCETI va efectua studii independente de evaluare a calității serviciilor de comunicații electronice mobile, astfel încât să ofere consumatorilor informații corecte privind calitatea serviciilor </w:t>
      </w:r>
      <w:r w:rsidRPr="00866277">
        <w:rPr>
          <w:lang w:val="ro-RO"/>
        </w:rPr>
        <w:lastRenderedPageBreak/>
        <w:t xml:space="preserve">și performanța rețelelor de comunicații electronice prin intermediul cărora aceste servicii sunt furnizate. </w:t>
      </w:r>
    </w:p>
    <w:p w:rsidR="00A02AD7" w:rsidRPr="00866277" w:rsidRDefault="00A02AD7" w:rsidP="00641FA0">
      <w:pPr>
        <w:ind w:firstLine="720"/>
        <w:jc w:val="both"/>
        <w:rPr>
          <w:bCs/>
          <w:lang w:val="ro-RO"/>
        </w:rPr>
      </w:pPr>
      <w:r w:rsidRPr="00866277">
        <w:rPr>
          <w:bCs/>
          <w:lang w:val="ro-RO"/>
        </w:rPr>
        <w:t xml:space="preserve">De asemenea, </w:t>
      </w:r>
      <w:r w:rsidRPr="00866277">
        <w:rPr>
          <w:lang w:val="ro-RO"/>
        </w:rPr>
        <w:t>prin Hotărârea Consiliului de Administrație al ANRCETI nr.10 din 28 februarie 2019 au fost aprobați</w:t>
      </w:r>
      <w:r w:rsidRPr="00866277">
        <w:rPr>
          <w:bCs/>
          <w:lang w:val="ro-RO"/>
        </w:rPr>
        <w:t xml:space="preserve"> Indicatorii de calitate pentru serviciile de </w:t>
      </w:r>
      <w:proofErr w:type="spellStart"/>
      <w:r w:rsidRPr="00866277">
        <w:rPr>
          <w:bCs/>
          <w:lang w:val="ro-RO"/>
        </w:rPr>
        <w:t>comunicaţii</w:t>
      </w:r>
      <w:proofErr w:type="spellEnd"/>
      <w:r w:rsidRPr="00866277">
        <w:rPr>
          <w:bCs/>
          <w:lang w:val="ro-RO"/>
        </w:rPr>
        <w:t xml:space="preserve"> electronice accesibile publicului. În scopul asigurării unei înțelegeri mai bune din partea utilizatorilor finali a informației privind calitatea serviciilor, publicate de către furnizori și, având în vedere gradul de dezvoltare a tehnologiilor de comunicații electronice precum și convergența acestora, ANRCETI, a structurat indicatorii în două categorii: indicatori de calitate administrativi și indicatori tehnici. Cerințele privind conținutul, forma și metoda de publicare a informațiilor urmăresc scopul ca informația publicată privind calitatea serviciilor să fie cât se poate pe înțelesul utilizatorilor finali, cărora, de fapt sunt adresate aceste informații, fără necesitatea ca </w:t>
      </w:r>
      <w:proofErr w:type="spellStart"/>
      <w:r w:rsidRPr="00866277">
        <w:rPr>
          <w:bCs/>
          <w:lang w:val="ro-RO"/>
        </w:rPr>
        <w:t>aceștea</w:t>
      </w:r>
      <w:proofErr w:type="spellEnd"/>
      <w:r w:rsidRPr="00866277">
        <w:rPr>
          <w:bCs/>
          <w:lang w:val="ro-RO"/>
        </w:rPr>
        <w:t xml:space="preserve"> să posede cunoștințe profunde în materie de tehnologii. </w:t>
      </w:r>
    </w:p>
    <w:p w:rsidR="00A02AD7" w:rsidRPr="00866277" w:rsidRDefault="00A02AD7" w:rsidP="00641FA0">
      <w:pPr>
        <w:ind w:firstLine="720"/>
        <w:jc w:val="both"/>
        <w:rPr>
          <w:bCs/>
          <w:lang w:val="ro-RO"/>
        </w:rPr>
      </w:pPr>
      <w:r w:rsidRPr="00866277">
        <w:rPr>
          <w:lang w:val="ro-RO"/>
        </w:rPr>
        <w:t xml:space="preserve">ANRCETI, împreună cu colaboratorii </w:t>
      </w:r>
      <w:r w:rsidRPr="00866277">
        <w:rPr>
          <w:bCs/>
          <w:lang w:val="ro-RO"/>
        </w:rPr>
        <w:t xml:space="preserve">IP ,,Serviciul </w:t>
      </w:r>
      <w:proofErr w:type="spellStart"/>
      <w:r w:rsidRPr="00866277">
        <w:rPr>
          <w:bCs/>
          <w:lang w:val="ro-RO"/>
        </w:rPr>
        <w:t>Naţional</w:t>
      </w:r>
      <w:proofErr w:type="spellEnd"/>
      <w:r w:rsidRPr="00866277">
        <w:rPr>
          <w:bCs/>
          <w:lang w:val="ro-RO"/>
        </w:rPr>
        <w:t xml:space="preserve"> de Management al </w:t>
      </w:r>
      <w:proofErr w:type="spellStart"/>
      <w:r w:rsidRPr="00866277">
        <w:rPr>
          <w:bCs/>
          <w:lang w:val="ro-RO"/>
        </w:rPr>
        <w:t>Frecvenţelor</w:t>
      </w:r>
      <w:proofErr w:type="spellEnd"/>
      <w:r w:rsidRPr="00866277">
        <w:rPr>
          <w:bCs/>
          <w:lang w:val="ro-RO"/>
        </w:rPr>
        <w:t xml:space="preserve"> Radio”, </w:t>
      </w:r>
      <w:r w:rsidRPr="00866277">
        <w:rPr>
          <w:lang w:val="ro-RO"/>
        </w:rPr>
        <w:t xml:space="preserve">a efectuat, la sesizarea unui utilizator, un control inopinat, cu </w:t>
      </w:r>
      <w:r w:rsidRPr="00866277">
        <w:rPr>
          <w:bCs/>
          <w:lang w:val="ro-RO"/>
        </w:rPr>
        <w:t xml:space="preserve">verificarea instrumentală a </w:t>
      </w:r>
      <w:proofErr w:type="spellStart"/>
      <w:r w:rsidRPr="00866277">
        <w:rPr>
          <w:bCs/>
          <w:lang w:val="ro-RO"/>
        </w:rPr>
        <w:t>calităţii</w:t>
      </w:r>
      <w:proofErr w:type="spellEnd"/>
      <w:r w:rsidRPr="00866277">
        <w:rPr>
          <w:bCs/>
          <w:lang w:val="ro-RO"/>
        </w:rPr>
        <w:t xml:space="preserve"> serviciilor publice de telefonie mobilă prestate de furnizorul dat,</w:t>
      </w:r>
      <w:r w:rsidRPr="00866277">
        <w:rPr>
          <w:lang w:val="ro-RO"/>
        </w:rPr>
        <w:t xml:space="preserve"> în urma căruia a fost constatat că semnalul </w:t>
      </w:r>
      <w:proofErr w:type="spellStart"/>
      <w:r w:rsidRPr="00866277">
        <w:rPr>
          <w:lang w:val="ro-RO"/>
        </w:rPr>
        <w:t>recepţionat</w:t>
      </w:r>
      <w:proofErr w:type="spellEnd"/>
      <w:r w:rsidRPr="00866277">
        <w:rPr>
          <w:lang w:val="ro-RO"/>
        </w:rPr>
        <w:t xml:space="preserve"> este sub limita admisibilă, astfel, furnizorul fiind obligat să-</w:t>
      </w:r>
      <w:proofErr w:type="spellStart"/>
      <w:r w:rsidRPr="00866277">
        <w:rPr>
          <w:lang w:val="ro-RO"/>
        </w:rPr>
        <w:t>şi</w:t>
      </w:r>
      <w:proofErr w:type="spellEnd"/>
      <w:r w:rsidRPr="00866277">
        <w:rPr>
          <w:lang w:val="ro-RO"/>
        </w:rPr>
        <w:t xml:space="preserve"> retragă </w:t>
      </w:r>
      <w:proofErr w:type="spellStart"/>
      <w:r w:rsidRPr="00866277">
        <w:rPr>
          <w:lang w:val="ro-RO"/>
        </w:rPr>
        <w:t>pretenţiile</w:t>
      </w:r>
      <w:proofErr w:type="spellEnd"/>
      <w:r w:rsidRPr="00866277">
        <w:rPr>
          <w:lang w:val="ro-RO"/>
        </w:rPr>
        <w:t xml:space="preserve"> înaintate utilizatorului. </w:t>
      </w:r>
      <w:r w:rsidRPr="00866277">
        <w:rPr>
          <w:bCs/>
          <w:lang w:val="ro-RO"/>
        </w:rPr>
        <w:t xml:space="preserve"> </w:t>
      </w:r>
    </w:p>
    <w:p w:rsidR="00634CBA" w:rsidRPr="00866277" w:rsidRDefault="001038C4" w:rsidP="00641FA0">
      <w:pPr>
        <w:ind w:firstLine="720"/>
        <w:jc w:val="both"/>
        <w:rPr>
          <w:bCs/>
          <w:lang w:val="ro-RO"/>
        </w:rPr>
      </w:pPr>
      <w:r w:rsidRPr="00866277">
        <w:rPr>
          <w:lang w:val="ro-RO"/>
        </w:rPr>
        <w:t>ANRE</w:t>
      </w:r>
      <w:r w:rsidR="00565340" w:rsidRPr="00866277">
        <w:rPr>
          <w:lang w:val="ro-RO"/>
        </w:rPr>
        <w:t xml:space="preserve"> a organizat </w:t>
      </w:r>
      <w:r w:rsidR="00330BA7" w:rsidRPr="00866277">
        <w:rPr>
          <w:bCs/>
          <w:lang w:val="ro-RO"/>
        </w:rPr>
        <w:t>11 ședințe consultative cu participarea părților interesate, agenților economici în domeniul energetic, altor autorități publice centrale.</w:t>
      </w:r>
    </w:p>
    <w:p w:rsidR="00D30542" w:rsidRPr="002A46A6" w:rsidRDefault="002A46A6" w:rsidP="002A46A6">
      <w:pPr>
        <w:ind w:firstLine="720"/>
        <w:jc w:val="both"/>
        <w:rPr>
          <w:lang w:val="en-US"/>
        </w:rPr>
      </w:pPr>
      <w:r>
        <w:rPr>
          <w:bCs/>
          <w:lang w:val="ro-RO"/>
        </w:rPr>
        <w:t>AST a</w:t>
      </w:r>
      <w:r w:rsidR="00D30542" w:rsidRPr="002A46A6">
        <w:rPr>
          <w:rFonts w:eastAsia="Times New Roman"/>
          <w:lang w:val="en-US"/>
        </w:rPr>
        <w:t xml:space="preserve"> </w:t>
      </w:r>
      <w:proofErr w:type="spellStart"/>
      <w:r w:rsidR="00D30542" w:rsidRPr="002A46A6">
        <w:rPr>
          <w:rFonts w:eastAsia="Times New Roman"/>
          <w:lang w:val="en-US"/>
        </w:rPr>
        <w:t>acordat</w:t>
      </w:r>
      <w:proofErr w:type="spellEnd"/>
      <w:r w:rsidR="00D30542" w:rsidRPr="002A46A6">
        <w:rPr>
          <w:rFonts w:eastAsia="Times New Roman"/>
          <w:lang w:val="en-US"/>
        </w:rPr>
        <w:t xml:space="preserve"> 39 </w:t>
      </w:r>
      <w:proofErr w:type="spellStart"/>
      <w:r w:rsidR="00D30542" w:rsidRPr="002A46A6">
        <w:rPr>
          <w:rFonts w:eastAsia="Times New Roman"/>
          <w:lang w:val="en-US"/>
        </w:rPr>
        <w:t>consultații</w:t>
      </w:r>
      <w:proofErr w:type="spellEnd"/>
      <w:r w:rsidR="00D30542" w:rsidRPr="002A46A6">
        <w:rPr>
          <w:rFonts w:eastAsia="Times New Roman"/>
          <w:lang w:val="en-US"/>
        </w:rPr>
        <w:t xml:space="preserve"> </w:t>
      </w:r>
      <w:proofErr w:type="spellStart"/>
      <w:r w:rsidR="00D30542" w:rsidRPr="002A46A6">
        <w:rPr>
          <w:rFonts w:eastAsia="Times New Roman"/>
          <w:lang w:val="en-US"/>
        </w:rPr>
        <w:t>privind</w:t>
      </w:r>
      <w:proofErr w:type="spellEnd"/>
      <w:r w:rsidR="00D30542" w:rsidRPr="002A46A6">
        <w:rPr>
          <w:rFonts w:eastAsia="Times New Roman"/>
          <w:lang w:val="en-US"/>
        </w:rPr>
        <w:t xml:space="preserve"> </w:t>
      </w:r>
      <w:proofErr w:type="spellStart"/>
      <w:r w:rsidR="00D30542" w:rsidRPr="002A46A6">
        <w:rPr>
          <w:rFonts w:eastAsia="Times New Roman"/>
          <w:lang w:val="en-US"/>
        </w:rPr>
        <w:t>diminuarea</w:t>
      </w:r>
      <w:proofErr w:type="spellEnd"/>
      <w:r w:rsidR="00D30542" w:rsidRPr="002A46A6">
        <w:rPr>
          <w:rFonts w:eastAsia="Times New Roman"/>
          <w:lang w:val="en-US"/>
        </w:rPr>
        <w:t xml:space="preserve"> </w:t>
      </w:r>
      <w:proofErr w:type="spellStart"/>
      <w:r w:rsidR="00D30542" w:rsidRPr="002A46A6">
        <w:rPr>
          <w:rFonts w:eastAsia="Times New Roman"/>
          <w:lang w:val="en-US"/>
        </w:rPr>
        <w:t>riscului</w:t>
      </w:r>
      <w:proofErr w:type="spellEnd"/>
      <w:r w:rsidR="00D30542" w:rsidRPr="002A46A6">
        <w:rPr>
          <w:rFonts w:eastAsia="Times New Roman"/>
          <w:lang w:val="en-US"/>
        </w:rPr>
        <w:t xml:space="preserve"> de </w:t>
      </w:r>
      <w:proofErr w:type="spellStart"/>
      <w:r w:rsidR="00D30542" w:rsidRPr="002A46A6">
        <w:rPr>
          <w:rFonts w:eastAsia="Times New Roman"/>
          <w:lang w:val="en-US"/>
        </w:rPr>
        <w:t>apariție</w:t>
      </w:r>
      <w:proofErr w:type="spellEnd"/>
      <w:r w:rsidR="00D30542" w:rsidRPr="002A46A6">
        <w:rPr>
          <w:rFonts w:eastAsia="Times New Roman"/>
          <w:lang w:val="en-US"/>
        </w:rPr>
        <w:t xml:space="preserve"> </w:t>
      </w:r>
      <w:proofErr w:type="spellStart"/>
      <w:r w:rsidR="00D30542" w:rsidRPr="002A46A6">
        <w:rPr>
          <w:rFonts w:eastAsia="Times New Roman"/>
          <w:lang w:val="en-US"/>
        </w:rPr>
        <w:t>pe</w:t>
      </w:r>
      <w:proofErr w:type="spellEnd"/>
      <w:r w:rsidR="00D30542" w:rsidRPr="002A46A6">
        <w:rPr>
          <w:rFonts w:eastAsia="Times New Roman"/>
          <w:lang w:val="en-US"/>
        </w:rPr>
        <w:t xml:space="preserve"> </w:t>
      </w:r>
      <w:proofErr w:type="spellStart"/>
      <w:r w:rsidR="00D30542" w:rsidRPr="002A46A6">
        <w:rPr>
          <w:rFonts w:eastAsia="Times New Roman"/>
          <w:lang w:val="en-US"/>
        </w:rPr>
        <w:t>piață</w:t>
      </w:r>
      <w:proofErr w:type="spellEnd"/>
      <w:r w:rsidR="00D30542" w:rsidRPr="002A46A6">
        <w:rPr>
          <w:rFonts w:eastAsia="Times New Roman"/>
          <w:lang w:val="en-US"/>
        </w:rPr>
        <w:t xml:space="preserve"> a </w:t>
      </w:r>
      <w:proofErr w:type="spellStart"/>
      <w:r w:rsidR="00D30542" w:rsidRPr="002A46A6">
        <w:rPr>
          <w:rFonts w:eastAsia="Times New Roman"/>
          <w:lang w:val="en-US"/>
        </w:rPr>
        <w:t>produselor</w:t>
      </w:r>
      <w:proofErr w:type="spellEnd"/>
      <w:r w:rsidR="00D30542" w:rsidRPr="002A46A6">
        <w:rPr>
          <w:rFonts w:eastAsia="Times New Roman"/>
          <w:lang w:val="en-US"/>
        </w:rPr>
        <w:t xml:space="preserve"> </w:t>
      </w:r>
      <w:proofErr w:type="spellStart"/>
      <w:r w:rsidR="00D30542" w:rsidRPr="002A46A6">
        <w:rPr>
          <w:rFonts w:eastAsia="Times New Roman"/>
          <w:lang w:val="en-US"/>
        </w:rPr>
        <w:t>periculoase</w:t>
      </w:r>
      <w:proofErr w:type="spellEnd"/>
      <w:r w:rsidR="00D30542" w:rsidRPr="002A46A6">
        <w:rPr>
          <w:rFonts w:eastAsia="Times New Roman"/>
          <w:lang w:val="en-US"/>
        </w:rPr>
        <w:t xml:space="preserve">. </w:t>
      </w:r>
      <w:proofErr w:type="spellStart"/>
      <w:r w:rsidR="00D30542" w:rsidRPr="002A46A6">
        <w:rPr>
          <w:rFonts w:eastAsia="Times New Roman"/>
          <w:lang w:val="en-US"/>
        </w:rPr>
        <w:t>În</w:t>
      </w:r>
      <w:proofErr w:type="spellEnd"/>
      <w:r w:rsidR="00D30542" w:rsidRPr="002A46A6">
        <w:rPr>
          <w:rFonts w:eastAsia="Times New Roman"/>
          <w:lang w:val="en-US"/>
        </w:rPr>
        <w:t xml:space="preserve"> </w:t>
      </w:r>
      <w:proofErr w:type="spellStart"/>
      <w:r w:rsidR="00D30542" w:rsidRPr="002A46A6">
        <w:rPr>
          <w:rFonts w:eastAsia="Times New Roman"/>
          <w:lang w:val="en-US"/>
        </w:rPr>
        <w:t>cadrul</w:t>
      </w:r>
      <w:proofErr w:type="spellEnd"/>
      <w:r w:rsidR="00D30542" w:rsidRPr="002A46A6">
        <w:rPr>
          <w:rFonts w:eastAsia="Times New Roman"/>
          <w:lang w:val="en-US"/>
        </w:rPr>
        <w:t xml:space="preserve"> </w:t>
      </w:r>
      <w:proofErr w:type="spellStart"/>
      <w:r w:rsidR="00D30542" w:rsidRPr="002A46A6">
        <w:rPr>
          <w:rFonts w:eastAsia="Times New Roman"/>
          <w:lang w:val="en-US"/>
        </w:rPr>
        <w:t>identificării</w:t>
      </w:r>
      <w:proofErr w:type="spellEnd"/>
      <w:r w:rsidR="00D30542" w:rsidRPr="002A46A6">
        <w:rPr>
          <w:rFonts w:eastAsia="Times New Roman"/>
          <w:lang w:val="en-US"/>
        </w:rPr>
        <w:t xml:space="preserve"> </w:t>
      </w:r>
      <w:proofErr w:type="spellStart"/>
      <w:r w:rsidR="00D30542" w:rsidRPr="002A46A6">
        <w:rPr>
          <w:rFonts w:eastAsia="Times New Roman"/>
          <w:lang w:val="en-US"/>
        </w:rPr>
        <w:t>agenți</w:t>
      </w:r>
      <w:r>
        <w:rPr>
          <w:rFonts w:eastAsia="Times New Roman"/>
          <w:lang w:val="en-US"/>
        </w:rPr>
        <w:t>lor</w:t>
      </w:r>
      <w:proofErr w:type="spellEnd"/>
      <w:r w:rsidR="00D30542" w:rsidRPr="002A46A6">
        <w:rPr>
          <w:rFonts w:eastAsia="Times New Roman"/>
          <w:lang w:val="en-US"/>
        </w:rPr>
        <w:t xml:space="preserve"> </w:t>
      </w:r>
      <w:proofErr w:type="spellStart"/>
      <w:r w:rsidR="00D30542" w:rsidRPr="002A46A6">
        <w:rPr>
          <w:rFonts w:eastAsia="Times New Roman"/>
          <w:lang w:val="en-US"/>
        </w:rPr>
        <w:t>economici</w:t>
      </w:r>
      <w:proofErr w:type="spellEnd"/>
      <w:r w:rsidR="00D30542" w:rsidRPr="002A46A6">
        <w:rPr>
          <w:rFonts w:eastAsia="Times New Roman"/>
          <w:lang w:val="en-US"/>
        </w:rPr>
        <w:t>, car</w:t>
      </w:r>
      <w:r>
        <w:rPr>
          <w:rFonts w:eastAsia="Times New Roman"/>
          <w:lang w:val="en-US"/>
        </w:rPr>
        <w:t xml:space="preserve">e </w:t>
      </w:r>
      <w:proofErr w:type="spellStart"/>
      <w:r>
        <w:rPr>
          <w:rFonts w:eastAsia="Times New Roman"/>
          <w:lang w:val="en-US"/>
        </w:rPr>
        <w:t>efectuează</w:t>
      </w:r>
      <w:proofErr w:type="spellEnd"/>
      <w:r>
        <w:rPr>
          <w:rFonts w:eastAsia="Times New Roman"/>
          <w:lang w:val="en-US"/>
        </w:rPr>
        <w:t xml:space="preserve"> </w:t>
      </w:r>
      <w:proofErr w:type="spellStart"/>
      <w:r>
        <w:rPr>
          <w:rFonts w:eastAsia="Times New Roman"/>
          <w:lang w:val="en-US"/>
        </w:rPr>
        <w:t>punerea</w:t>
      </w:r>
      <w:proofErr w:type="spellEnd"/>
      <w:r>
        <w:rPr>
          <w:rFonts w:eastAsia="Times New Roman"/>
          <w:lang w:val="en-US"/>
        </w:rPr>
        <w:t xml:space="preserve"> </w:t>
      </w:r>
      <w:proofErr w:type="spellStart"/>
      <w:r>
        <w:rPr>
          <w:rFonts w:eastAsia="Times New Roman"/>
          <w:lang w:val="en-US"/>
        </w:rPr>
        <w:t>pe</w:t>
      </w:r>
      <w:proofErr w:type="spellEnd"/>
      <w:r>
        <w:rPr>
          <w:rFonts w:eastAsia="Times New Roman"/>
          <w:lang w:val="en-US"/>
        </w:rPr>
        <w:t xml:space="preserve"> </w:t>
      </w:r>
      <w:proofErr w:type="spellStart"/>
      <w:r>
        <w:rPr>
          <w:rFonts w:eastAsia="Times New Roman"/>
          <w:lang w:val="en-US"/>
        </w:rPr>
        <w:t>piață</w:t>
      </w:r>
      <w:proofErr w:type="spellEnd"/>
      <w:r>
        <w:rPr>
          <w:rFonts w:eastAsia="Times New Roman"/>
          <w:lang w:val="en-US"/>
        </w:rPr>
        <w:t xml:space="preserve"> a </w:t>
      </w:r>
      <w:proofErr w:type="spellStart"/>
      <w:r w:rsidR="00D30542" w:rsidRPr="002A46A6">
        <w:rPr>
          <w:rFonts w:eastAsia="Times New Roman"/>
          <w:lang w:val="en-US"/>
        </w:rPr>
        <w:t>echipamentelor</w:t>
      </w:r>
      <w:proofErr w:type="spellEnd"/>
      <w:r w:rsidR="00D30542" w:rsidRPr="002A46A6">
        <w:rPr>
          <w:rFonts w:eastAsia="Times New Roman"/>
          <w:lang w:val="en-US"/>
        </w:rPr>
        <w:t xml:space="preserve"> </w:t>
      </w:r>
      <w:proofErr w:type="spellStart"/>
      <w:r w:rsidR="00D30542" w:rsidRPr="002A46A6">
        <w:rPr>
          <w:rFonts w:eastAsia="Times New Roman"/>
          <w:lang w:val="en-US"/>
        </w:rPr>
        <w:t>și</w:t>
      </w:r>
      <w:proofErr w:type="spellEnd"/>
      <w:r w:rsidR="00D30542" w:rsidRPr="002A46A6">
        <w:rPr>
          <w:rFonts w:eastAsia="Times New Roman"/>
          <w:lang w:val="en-US"/>
        </w:rPr>
        <w:t xml:space="preserve"> </w:t>
      </w:r>
      <w:proofErr w:type="spellStart"/>
      <w:r w:rsidR="00D30542" w:rsidRPr="002A46A6">
        <w:rPr>
          <w:rFonts w:eastAsia="Times New Roman"/>
          <w:lang w:val="en-US"/>
        </w:rPr>
        <w:t>sistemelor</w:t>
      </w:r>
      <w:proofErr w:type="spellEnd"/>
      <w:r w:rsidR="00D30542" w:rsidRPr="002A46A6">
        <w:rPr>
          <w:rFonts w:eastAsia="Times New Roman"/>
          <w:lang w:val="en-US"/>
        </w:rPr>
        <w:t xml:space="preserve"> </w:t>
      </w:r>
      <w:proofErr w:type="spellStart"/>
      <w:r w:rsidR="00D30542" w:rsidRPr="002A46A6">
        <w:rPr>
          <w:rFonts w:eastAsia="Times New Roman"/>
          <w:lang w:val="en-US"/>
        </w:rPr>
        <w:t>protectoare</w:t>
      </w:r>
      <w:proofErr w:type="spellEnd"/>
      <w:r w:rsidR="00D30542" w:rsidRPr="002A46A6">
        <w:rPr>
          <w:rFonts w:eastAsia="Times New Roman"/>
          <w:lang w:val="en-US"/>
        </w:rPr>
        <w:t xml:space="preserve"> </w:t>
      </w:r>
      <w:proofErr w:type="spellStart"/>
      <w:r w:rsidR="00D30542" w:rsidRPr="002A46A6">
        <w:rPr>
          <w:rFonts w:eastAsia="Times New Roman"/>
          <w:lang w:val="en-US"/>
        </w:rPr>
        <w:t>destinate</w:t>
      </w:r>
      <w:proofErr w:type="spellEnd"/>
      <w:r w:rsidR="00D30542" w:rsidRPr="002A46A6">
        <w:rPr>
          <w:rFonts w:eastAsia="Times New Roman"/>
          <w:lang w:val="en-US"/>
        </w:rPr>
        <w:t xml:space="preserve"> </w:t>
      </w:r>
      <w:proofErr w:type="spellStart"/>
      <w:r w:rsidR="00D30542" w:rsidRPr="002A46A6">
        <w:rPr>
          <w:rFonts w:eastAsia="Times New Roman"/>
          <w:lang w:val="en-US"/>
        </w:rPr>
        <w:t>utilizării</w:t>
      </w:r>
      <w:proofErr w:type="spellEnd"/>
      <w:r w:rsidR="00D30542" w:rsidRPr="002A46A6">
        <w:rPr>
          <w:rFonts w:eastAsia="Times New Roman"/>
          <w:lang w:val="en-US"/>
        </w:rPr>
        <w:t xml:space="preserve"> </w:t>
      </w:r>
      <w:proofErr w:type="spellStart"/>
      <w:r w:rsidR="00D30542" w:rsidRPr="002A46A6">
        <w:rPr>
          <w:rFonts w:eastAsia="Times New Roman"/>
          <w:lang w:val="en-US"/>
        </w:rPr>
        <w:t>în</w:t>
      </w:r>
      <w:proofErr w:type="spellEnd"/>
      <w:r w:rsidR="00D30542" w:rsidRPr="002A46A6">
        <w:rPr>
          <w:rFonts w:eastAsia="Times New Roman"/>
          <w:lang w:val="en-US"/>
        </w:rPr>
        <w:t xml:space="preserve"> </w:t>
      </w:r>
      <w:proofErr w:type="spellStart"/>
      <w:r w:rsidR="00D30542" w:rsidRPr="002A46A6">
        <w:rPr>
          <w:rFonts w:eastAsia="Times New Roman"/>
          <w:lang w:val="en-US"/>
        </w:rPr>
        <w:t>medii</w:t>
      </w:r>
      <w:proofErr w:type="spellEnd"/>
      <w:r w:rsidR="00D30542" w:rsidRPr="002A46A6">
        <w:rPr>
          <w:rFonts w:eastAsia="Times New Roman"/>
          <w:lang w:val="en-US"/>
        </w:rPr>
        <w:t xml:space="preserve"> </w:t>
      </w:r>
      <w:proofErr w:type="spellStart"/>
      <w:r w:rsidR="00D30542" w:rsidRPr="002A46A6">
        <w:rPr>
          <w:rFonts w:eastAsia="Times New Roman"/>
          <w:lang w:val="en-US"/>
        </w:rPr>
        <w:t>potențial</w:t>
      </w:r>
      <w:proofErr w:type="spellEnd"/>
      <w:r w:rsidR="00D30542" w:rsidRPr="002A46A6">
        <w:rPr>
          <w:rFonts w:eastAsia="Times New Roman"/>
          <w:lang w:val="en-US"/>
        </w:rPr>
        <w:t xml:space="preserve"> </w:t>
      </w:r>
      <w:proofErr w:type="spellStart"/>
      <w:r w:rsidR="00D30542" w:rsidRPr="002A46A6">
        <w:rPr>
          <w:rFonts w:eastAsia="Times New Roman"/>
          <w:lang w:val="en-US"/>
        </w:rPr>
        <w:t>explozive</w:t>
      </w:r>
      <w:proofErr w:type="spellEnd"/>
      <w:r w:rsidR="00D30542" w:rsidRPr="002A46A6">
        <w:rPr>
          <w:rFonts w:eastAsia="Times New Roman"/>
          <w:lang w:val="en-US"/>
        </w:rPr>
        <w:t xml:space="preserve"> au </w:t>
      </w:r>
      <w:proofErr w:type="spellStart"/>
      <w:r w:rsidR="00D30542" w:rsidRPr="002A46A6">
        <w:rPr>
          <w:rFonts w:eastAsia="Times New Roman"/>
          <w:lang w:val="en-US"/>
        </w:rPr>
        <w:t>fost</w:t>
      </w:r>
      <w:proofErr w:type="spellEnd"/>
      <w:r w:rsidR="00D30542" w:rsidRPr="002A46A6">
        <w:rPr>
          <w:rFonts w:eastAsia="Times New Roman"/>
          <w:lang w:val="en-US"/>
        </w:rPr>
        <w:t xml:space="preserve"> </w:t>
      </w:r>
      <w:proofErr w:type="spellStart"/>
      <w:r w:rsidR="00D30542" w:rsidRPr="002A46A6">
        <w:rPr>
          <w:rFonts w:eastAsia="Times New Roman"/>
          <w:lang w:val="en-US"/>
        </w:rPr>
        <w:t>acordate</w:t>
      </w:r>
      <w:proofErr w:type="spellEnd"/>
      <w:r w:rsidR="00D30542" w:rsidRPr="002A46A6">
        <w:rPr>
          <w:rFonts w:eastAsia="Times New Roman"/>
          <w:lang w:val="en-US"/>
        </w:rPr>
        <w:t xml:space="preserve"> 4 </w:t>
      </w:r>
      <w:proofErr w:type="spellStart"/>
      <w:r w:rsidR="00D30542" w:rsidRPr="002A46A6">
        <w:rPr>
          <w:rFonts w:eastAsia="Times New Roman"/>
          <w:lang w:val="en-US"/>
        </w:rPr>
        <w:t>consultații</w:t>
      </w:r>
      <w:proofErr w:type="spellEnd"/>
      <w:r w:rsidR="00D30542" w:rsidRPr="002A46A6">
        <w:rPr>
          <w:rFonts w:eastAsia="Times New Roman"/>
          <w:lang w:val="en-US"/>
        </w:rPr>
        <w:t xml:space="preserve"> de </w:t>
      </w:r>
      <w:proofErr w:type="spellStart"/>
      <w:r w:rsidR="00D30542" w:rsidRPr="002A46A6">
        <w:rPr>
          <w:rFonts w:eastAsia="Times New Roman"/>
          <w:lang w:val="en-US"/>
        </w:rPr>
        <w:t>specialitate</w:t>
      </w:r>
      <w:proofErr w:type="spellEnd"/>
      <w:r w:rsidR="00D30542" w:rsidRPr="002A46A6">
        <w:rPr>
          <w:rFonts w:eastAsia="Times New Roman"/>
          <w:lang w:val="en-US"/>
        </w:rPr>
        <w:t>;</w:t>
      </w:r>
      <w:r>
        <w:rPr>
          <w:rFonts w:eastAsia="Times New Roman"/>
          <w:lang w:val="en-US"/>
        </w:rPr>
        <w:t xml:space="preserve"> a</w:t>
      </w:r>
      <w:r w:rsidR="00D30542" w:rsidRPr="002A46A6">
        <w:rPr>
          <w:rFonts w:eastAsia="Times New Roman"/>
          <w:lang w:val="en-US"/>
        </w:rPr>
        <w:t xml:space="preserve"> </w:t>
      </w:r>
      <w:proofErr w:type="spellStart"/>
      <w:r w:rsidR="00D30542" w:rsidRPr="002A46A6">
        <w:rPr>
          <w:rFonts w:eastAsia="Times New Roman"/>
          <w:lang w:val="en-US"/>
        </w:rPr>
        <w:t>ascensoarelor</w:t>
      </w:r>
      <w:proofErr w:type="spellEnd"/>
      <w:r w:rsidR="00D30542" w:rsidRPr="002A46A6">
        <w:rPr>
          <w:rFonts w:eastAsia="Times New Roman"/>
          <w:lang w:val="en-US"/>
        </w:rPr>
        <w:t xml:space="preserve"> </w:t>
      </w:r>
      <w:proofErr w:type="spellStart"/>
      <w:r w:rsidR="00D30542" w:rsidRPr="002A46A6">
        <w:rPr>
          <w:rFonts w:eastAsia="Times New Roman"/>
          <w:lang w:val="en-US"/>
        </w:rPr>
        <w:t>și</w:t>
      </w:r>
      <w:proofErr w:type="spellEnd"/>
      <w:r w:rsidR="00D30542" w:rsidRPr="002A46A6">
        <w:rPr>
          <w:rFonts w:eastAsia="Times New Roman"/>
          <w:lang w:val="en-US"/>
        </w:rPr>
        <w:t xml:space="preserve"> </w:t>
      </w:r>
      <w:proofErr w:type="spellStart"/>
      <w:r w:rsidR="00D30542" w:rsidRPr="002A46A6">
        <w:rPr>
          <w:rFonts w:eastAsia="Times New Roman"/>
          <w:lang w:val="en-US"/>
        </w:rPr>
        <w:t>echipamentelor</w:t>
      </w:r>
      <w:proofErr w:type="spellEnd"/>
      <w:r w:rsidR="00D30542" w:rsidRPr="002A46A6">
        <w:rPr>
          <w:rFonts w:eastAsia="Times New Roman"/>
          <w:lang w:val="en-US"/>
        </w:rPr>
        <w:t xml:space="preserve"> sub </w:t>
      </w:r>
      <w:proofErr w:type="spellStart"/>
      <w:r w:rsidR="00D30542" w:rsidRPr="002A46A6">
        <w:rPr>
          <w:rFonts w:eastAsia="Times New Roman"/>
          <w:lang w:val="en-US"/>
        </w:rPr>
        <w:t>presiune</w:t>
      </w:r>
      <w:proofErr w:type="spellEnd"/>
      <w:r w:rsidR="00D30542" w:rsidRPr="002A46A6">
        <w:rPr>
          <w:rFonts w:eastAsia="Times New Roman"/>
          <w:lang w:val="en-US"/>
        </w:rPr>
        <w:t xml:space="preserve"> au </w:t>
      </w:r>
      <w:proofErr w:type="spellStart"/>
      <w:r w:rsidR="00D30542" w:rsidRPr="002A46A6">
        <w:rPr>
          <w:rFonts w:eastAsia="Times New Roman"/>
          <w:lang w:val="en-US"/>
        </w:rPr>
        <w:t>fost</w:t>
      </w:r>
      <w:proofErr w:type="spellEnd"/>
      <w:r w:rsidR="00D30542" w:rsidRPr="002A46A6">
        <w:rPr>
          <w:rFonts w:eastAsia="Times New Roman"/>
          <w:lang w:val="en-US"/>
        </w:rPr>
        <w:t xml:space="preserve"> </w:t>
      </w:r>
      <w:proofErr w:type="spellStart"/>
      <w:r w:rsidR="00D30542" w:rsidRPr="002A46A6">
        <w:rPr>
          <w:rFonts w:eastAsia="Times New Roman"/>
          <w:lang w:val="en-US"/>
        </w:rPr>
        <w:t>acordate</w:t>
      </w:r>
      <w:proofErr w:type="spellEnd"/>
      <w:r w:rsidR="00D30542" w:rsidRPr="002A46A6">
        <w:rPr>
          <w:rFonts w:eastAsia="Times New Roman"/>
          <w:lang w:val="en-US"/>
        </w:rPr>
        <w:t xml:space="preserve"> 4 </w:t>
      </w:r>
      <w:proofErr w:type="spellStart"/>
      <w:r w:rsidR="00D30542" w:rsidRPr="002A46A6">
        <w:rPr>
          <w:rFonts w:eastAsia="Times New Roman"/>
          <w:lang w:val="en-US"/>
        </w:rPr>
        <w:t>consultații</w:t>
      </w:r>
      <w:proofErr w:type="spellEnd"/>
      <w:r w:rsidR="00D30542" w:rsidRPr="002A46A6">
        <w:rPr>
          <w:rFonts w:eastAsia="Times New Roman"/>
          <w:lang w:val="en-US"/>
        </w:rPr>
        <w:t xml:space="preserve"> de </w:t>
      </w:r>
      <w:proofErr w:type="spellStart"/>
      <w:r w:rsidR="00D30542" w:rsidRPr="002A46A6">
        <w:rPr>
          <w:rFonts w:eastAsia="Times New Roman"/>
          <w:lang w:val="en-US"/>
        </w:rPr>
        <w:t>specialitate</w:t>
      </w:r>
      <w:proofErr w:type="spellEnd"/>
      <w:r w:rsidR="00D30542" w:rsidRPr="002A46A6">
        <w:rPr>
          <w:rFonts w:eastAsia="Times New Roman"/>
          <w:lang w:val="en-US"/>
        </w:rPr>
        <w:t>;</w:t>
      </w:r>
      <w:r>
        <w:rPr>
          <w:rFonts w:eastAsia="Times New Roman"/>
          <w:lang w:val="en-US"/>
        </w:rPr>
        <w:t xml:space="preserve"> </w:t>
      </w:r>
      <w:proofErr w:type="spellStart"/>
      <w:r w:rsidR="00D30542" w:rsidRPr="002A46A6">
        <w:rPr>
          <w:rFonts w:eastAsia="Times New Roman"/>
          <w:lang w:val="en-US"/>
        </w:rPr>
        <w:t>obținerea</w:t>
      </w:r>
      <w:proofErr w:type="spellEnd"/>
      <w:r w:rsidR="00D30542" w:rsidRPr="002A46A6">
        <w:rPr>
          <w:rFonts w:eastAsia="Times New Roman"/>
          <w:lang w:val="en-US"/>
        </w:rPr>
        <w:t xml:space="preserve"> </w:t>
      </w:r>
      <w:proofErr w:type="spellStart"/>
      <w:r w:rsidR="00D30542" w:rsidRPr="002A46A6">
        <w:rPr>
          <w:rFonts w:eastAsia="Times New Roman"/>
          <w:lang w:val="en-US"/>
        </w:rPr>
        <w:t>și</w:t>
      </w:r>
      <w:proofErr w:type="spellEnd"/>
      <w:r w:rsidR="00D30542" w:rsidRPr="002A46A6">
        <w:rPr>
          <w:rFonts w:eastAsia="Times New Roman"/>
          <w:lang w:val="en-US"/>
        </w:rPr>
        <w:t xml:space="preserve"> </w:t>
      </w:r>
      <w:proofErr w:type="spellStart"/>
      <w:r w:rsidR="00D30542" w:rsidRPr="002A46A6">
        <w:rPr>
          <w:rFonts w:eastAsia="Times New Roman"/>
          <w:lang w:val="en-US"/>
        </w:rPr>
        <w:t>depozitarea</w:t>
      </w:r>
      <w:proofErr w:type="spellEnd"/>
      <w:r w:rsidR="00D30542" w:rsidRPr="002A46A6">
        <w:rPr>
          <w:rFonts w:eastAsia="Times New Roman"/>
          <w:lang w:val="en-US"/>
        </w:rPr>
        <w:t xml:space="preserve"> </w:t>
      </w:r>
      <w:proofErr w:type="spellStart"/>
      <w:r w:rsidR="00D30542" w:rsidRPr="002A46A6">
        <w:rPr>
          <w:rFonts w:eastAsia="Times New Roman"/>
          <w:lang w:val="en-US"/>
        </w:rPr>
        <w:t>materialelor</w:t>
      </w:r>
      <w:proofErr w:type="spellEnd"/>
      <w:r w:rsidR="00D30542" w:rsidRPr="002A46A6">
        <w:rPr>
          <w:rFonts w:eastAsia="Times New Roman"/>
          <w:lang w:val="en-US"/>
        </w:rPr>
        <w:t xml:space="preserve"> </w:t>
      </w:r>
      <w:proofErr w:type="spellStart"/>
      <w:r w:rsidR="00D30542" w:rsidRPr="002A46A6">
        <w:rPr>
          <w:rFonts w:eastAsia="Times New Roman"/>
          <w:lang w:val="en-US"/>
        </w:rPr>
        <w:t>explozive</w:t>
      </w:r>
      <w:proofErr w:type="spellEnd"/>
      <w:r w:rsidR="00D30542" w:rsidRPr="002A46A6">
        <w:rPr>
          <w:rFonts w:eastAsia="Times New Roman"/>
          <w:lang w:val="en-US"/>
        </w:rPr>
        <w:t xml:space="preserve"> </w:t>
      </w:r>
      <w:proofErr w:type="spellStart"/>
      <w:r w:rsidR="00D30542" w:rsidRPr="002A46A6">
        <w:rPr>
          <w:rFonts w:eastAsia="Times New Roman"/>
          <w:lang w:val="en-US"/>
        </w:rPr>
        <w:t>în</w:t>
      </w:r>
      <w:proofErr w:type="spellEnd"/>
      <w:r w:rsidR="00D30542" w:rsidRPr="002A46A6">
        <w:rPr>
          <w:rFonts w:eastAsia="Times New Roman"/>
          <w:lang w:val="en-US"/>
        </w:rPr>
        <w:t xml:space="preserve"> </w:t>
      </w:r>
      <w:proofErr w:type="spellStart"/>
      <w:r w:rsidR="00D30542" w:rsidRPr="002A46A6">
        <w:rPr>
          <w:rFonts w:eastAsia="Times New Roman"/>
          <w:lang w:val="en-US"/>
        </w:rPr>
        <w:t>scopuri</w:t>
      </w:r>
      <w:proofErr w:type="spellEnd"/>
      <w:r w:rsidR="00D30542" w:rsidRPr="002A46A6">
        <w:rPr>
          <w:rFonts w:eastAsia="Times New Roman"/>
          <w:lang w:val="en-US"/>
        </w:rPr>
        <w:t xml:space="preserve"> </w:t>
      </w:r>
      <w:proofErr w:type="spellStart"/>
      <w:r w:rsidR="00D30542" w:rsidRPr="002A46A6">
        <w:rPr>
          <w:rFonts w:eastAsia="Times New Roman"/>
          <w:lang w:val="en-US"/>
        </w:rPr>
        <w:t>civile</w:t>
      </w:r>
      <w:proofErr w:type="spellEnd"/>
      <w:r w:rsidR="00D30542" w:rsidRPr="002A46A6">
        <w:rPr>
          <w:rFonts w:eastAsia="Times New Roman"/>
          <w:lang w:val="en-US"/>
        </w:rPr>
        <w:t xml:space="preserve">, au </w:t>
      </w:r>
      <w:proofErr w:type="spellStart"/>
      <w:r w:rsidR="00D30542" w:rsidRPr="002A46A6">
        <w:rPr>
          <w:rFonts w:eastAsia="Times New Roman"/>
          <w:lang w:val="en-US"/>
        </w:rPr>
        <w:t>fost</w:t>
      </w:r>
      <w:proofErr w:type="spellEnd"/>
      <w:r w:rsidR="00D30542" w:rsidRPr="002A46A6">
        <w:rPr>
          <w:rFonts w:eastAsia="Times New Roman"/>
          <w:lang w:val="en-US"/>
        </w:rPr>
        <w:t xml:space="preserve"> </w:t>
      </w:r>
      <w:proofErr w:type="spellStart"/>
      <w:r w:rsidR="00D30542" w:rsidRPr="002A46A6">
        <w:rPr>
          <w:rFonts w:eastAsia="Times New Roman"/>
          <w:lang w:val="en-US"/>
        </w:rPr>
        <w:t>acordate</w:t>
      </w:r>
      <w:proofErr w:type="spellEnd"/>
      <w:r w:rsidR="00D30542" w:rsidRPr="002A46A6">
        <w:rPr>
          <w:rFonts w:eastAsia="Times New Roman"/>
          <w:lang w:val="en-US"/>
        </w:rPr>
        <w:t xml:space="preserve"> 12 </w:t>
      </w:r>
      <w:proofErr w:type="spellStart"/>
      <w:r w:rsidR="00D30542" w:rsidRPr="002A46A6">
        <w:rPr>
          <w:rFonts w:eastAsia="Times New Roman"/>
          <w:lang w:val="en-US"/>
        </w:rPr>
        <w:t>consultații</w:t>
      </w:r>
      <w:proofErr w:type="spellEnd"/>
      <w:r w:rsidR="00D30542" w:rsidRPr="002A46A6">
        <w:rPr>
          <w:rFonts w:eastAsia="Times New Roman"/>
          <w:lang w:val="en-US"/>
        </w:rPr>
        <w:t>.</w:t>
      </w:r>
    </w:p>
    <w:p w:rsidR="00C063E3" w:rsidRDefault="00D30542" w:rsidP="002A46A6">
      <w:pPr>
        <w:ind w:firstLine="720"/>
        <w:jc w:val="both"/>
        <w:rPr>
          <w:lang w:val="en-US"/>
        </w:rPr>
      </w:pPr>
      <w:r w:rsidRPr="002A46A6">
        <w:rPr>
          <w:lang w:val="en-US"/>
        </w:rPr>
        <w:t xml:space="preserve">De </w:t>
      </w:r>
      <w:proofErr w:type="spellStart"/>
      <w:r w:rsidRPr="002A46A6">
        <w:rPr>
          <w:lang w:val="en-US"/>
        </w:rPr>
        <w:t>asemenea</w:t>
      </w:r>
      <w:proofErr w:type="spellEnd"/>
      <w:r w:rsidRPr="002A46A6">
        <w:rPr>
          <w:lang w:val="en-US"/>
        </w:rPr>
        <w:t xml:space="preserve">, </w:t>
      </w:r>
      <w:proofErr w:type="spellStart"/>
      <w:r w:rsidRPr="002A46A6">
        <w:rPr>
          <w:lang w:val="en-US"/>
        </w:rPr>
        <w:t>consultaţiile</w:t>
      </w:r>
      <w:proofErr w:type="spellEnd"/>
      <w:r w:rsidRPr="002A46A6">
        <w:rPr>
          <w:lang w:val="en-US"/>
        </w:rPr>
        <w:t xml:space="preserve"> s-au </w:t>
      </w:r>
      <w:proofErr w:type="spellStart"/>
      <w:r w:rsidRPr="002A46A6">
        <w:rPr>
          <w:lang w:val="en-US"/>
        </w:rPr>
        <w:t>acordat</w:t>
      </w:r>
      <w:proofErr w:type="spellEnd"/>
      <w:r w:rsidRPr="002A46A6">
        <w:rPr>
          <w:lang w:val="en-US"/>
        </w:rPr>
        <w:t xml:space="preserve"> agenţilor </w:t>
      </w:r>
      <w:proofErr w:type="spellStart"/>
      <w:r w:rsidRPr="002A46A6">
        <w:rPr>
          <w:lang w:val="en-US"/>
        </w:rPr>
        <w:t>economici</w:t>
      </w:r>
      <w:proofErr w:type="spellEnd"/>
      <w:r w:rsidRPr="002A46A6">
        <w:rPr>
          <w:lang w:val="en-US"/>
        </w:rPr>
        <w:t xml:space="preserve"> </w:t>
      </w:r>
      <w:proofErr w:type="spellStart"/>
      <w:r w:rsidRPr="002A46A6">
        <w:rPr>
          <w:lang w:val="en-US"/>
        </w:rPr>
        <w:t>și</w:t>
      </w:r>
      <w:proofErr w:type="spellEnd"/>
      <w:r w:rsidRPr="002A46A6">
        <w:rPr>
          <w:lang w:val="en-US"/>
        </w:rPr>
        <w:t xml:space="preserve"> </w:t>
      </w:r>
      <w:proofErr w:type="spellStart"/>
      <w:r w:rsidRPr="002A46A6">
        <w:rPr>
          <w:lang w:val="en-US"/>
        </w:rPr>
        <w:t>în</w:t>
      </w:r>
      <w:proofErr w:type="spellEnd"/>
      <w:r w:rsidRPr="002A46A6">
        <w:rPr>
          <w:lang w:val="en-US"/>
        </w:rPr>
        <w:t xml:space="preserve"> </w:t>
      </w:r>
      <w:proofErr w:type="spellStart"/>
      <w:r w:rsidRPr="002A46A6">
        <w:rPr>
          <w:lang w:val="en-US"/>
        </w:rPr>
        <w:t>cadrul</w:t>
      </w:r>
      <w:proofErr w:type="spellEnd"/>
      <w:r w:rsidRPr="002A46A6">
        <w:rPr>
          <w:lang w:val="en-US"/>
        </w:rPr>
        <w:t xml:space="preserve"> </w:t>
      </w:r>
      <w:proofErr w:type="spellStart"/>
      <w:r w:rsidRPr="002A46A6">
        <w:rPr>
          <w:lang w:val="en-US"/>
        </w:rPr>
        <w:t>controalelor</w:t>
      </w:r>
      <w:proofErr w:type="spellEnd"/>
      <w:r w:rsidRPr="002A46A6">
        <w:rPr>
          <w:lang w:val="en-US"/>
        </w:rPr>
        <w:t xml:space="preserve"> </w:t>
      </w:r>
      <w:proofErr w:type="spellStart"/>
      <w:r w:rsidR="00C063E3">
        <w:rPr>
          <w:lang w:val="en-US"/>
        </w:rPr>
        <w:t>efectuate</w:t>
      </w:r>
      <w:proofErr w:type="spellEnd"/>
      <w:r w:rsidR="00C063E3">
        <w:rPr>
          <w:lang w:val="en-US"/>
        </w:rPr>
        <w:t xml:space="preserve"> </w:t>
      </w:r>
      <w:proofErr w:type="spellStart"/>
      <w:r w:rsidRPr="002A46A6">
        <w:rPr>
          <w:lang w:val="en-US"/>
        </w:rPr>
        <w:t>și</w:t>
      </w:r>
      <w:proofErr w:type="spellEnd"/>
      <w:r w:rsidRPr="002A46A6">
        <w:rPr>
          <w:lang w:val="en-US"/>
        </w:rPr>
        <w:t xml:space="preserve"> </w:t>
      </w:r>
      <w:proofErr w:type="spellStart"/>
      <w:r w:rsidRPr="002A46A6">
        <w:rPr>
          <w:lang w:val="en-US"/>
        </w:rPr>
        <w:t>în</w:t>
      </w:r>
      <w:proofErr w:type="spellEnd"/>
      <w:r w:rsidRPr="002A46A6">
        <w:rPr>
          <w:lang w:val="en-US"/>
        </w:rPr>
        <w:t xml:space="preserve"> </w:t>
      </w:r>
      <w:proofErr w:type="spellStart"/>
      <w:r w:rsidRPr="002A46A6">
        <w:rPr>
          <w:lang w:val="en-US"/>
        </w:rPr>
        <w:t>cadrul</w:t>
      </w:r>
      <w:proofErr w:type="spellEnd"/>
      <w:r w:rsidRPr="002A46A6">
        <w:rPr>
          <w:lang w:val="en-US"/>
        </w:rPr>
        <w:t xml:space="preserve"> </w:t>
      </w:r>
      <w:proofErr w:type="spellStart"/>
      <w:r w:rsidRPr="002A46A6">
        <w:rPr>
          <w:lang w:val="en-US"/>
        </w:rPr>
        <w:t>întrunirilor</w:t>
      </w:r>
      <w:proofErr w:type="spellEnd"/>
      <w:r w:rsidRPr="002A46A6">
        <w:rPr>
          <w:lang w:val="en-US"/>
        </w:rPr>
        <w:t>/</w:t>
      </w:r>
      <w:proofErr w:type="spellStart"/>
      <w:r w:rsidRPr="002A46A6">
        <w:rPr>
          <w:lang w:val="en-US"/>
        </w:rPr>
        <w:t>meselor</w:t>
      </w:r>
      <w:proofErr w:type="spellEnd"/>
      <w:r w:rsidRPr="002A46A6">
        <w:rPr>
          <w:lang w:val="en-US"/>
        </w:rPr>
        <w:t xml:space="preserve"> </w:t>
      </w:r>
      <w:proofErr w:type="spellStart"/>
      <w:r w:rsidRPr="002A46A6">
        <w:rPr>
          <w:lang w:val="en-US"/>
        </w:rPr>
        <w:t>rotunde</w:t>
      </w:r>
      <w:proofErr w:type="spellEnd"/>
      <w:r w:rsidRPr="002A46A6">
        <w:rPr>
          <w:lang w:val="en-US"/>
        </w:rPr>
        <w:t xml:space="preserve"> </w:t>
      </w:r>
      <w:proofErr w:type="spellStart"/>
      <w:r w:rsidRPr="002A46A6">
        <w:rPr>
          <w:lang w:val="en-US"/>
        </w:rPr>
        <w:t>desfăşurate</w:t>
      </w:r>
      <w:proofErr w:type="spellEnd"/>
      <w:r w:rsidRPr="002A46A6">
        <w:rPr>
          <w:lang w:val="en-US"/>
        </w:rPr>
        <w:t xml:space="preserve"> </w:t>
      </w:r>
      <w:proofErr w:type="spellStart"/>
      <w:r w:rsidRPr="002A46A6">
        <w:rPr>
          <w:lang w:val="en-US"/>
        </w:rPr>
        <w:t>în</w:t>
      </w:r>
      <w:proofErr w:type="spellEnd"/>
      <w:r w:rsidRPr="002A46A6">
        <w:rPr>
          <w:lang w:val="en-US"/>
        </w:rPr>
        <w:t xml:space="preserve"> </w:t>
      </w:r>
      <w:proofErr w:type="spellStart"/>
      <w:r w:rsidRPr="002A46A6">
        <w:rPr>
          <w:lang w:val="en-US"/>
        </w:rPr>
        <w:t>teritori</w:t>
      </w:r>
      <w:r w:rsidR="00C063E3">
        <w:rPr>
          <w:lang w:val="en-US"/>
        </w:rPr>
        <w:t>u</w:t>
      </w:r>
      <w:proofErr w:type="spellEnd"/>
      <w:r w:rsidR="00C063E3">
        <w:rPr>
          <w:lang w:val="en-US"/>
        </w:rPr>
        <w:t>.</w:t>
      </w:r>
    </w:p>
    <w:p w:rsidR="006F1FBF" w:rsidRPr="00866277" w:rsidRDefault="00C063E3" w:rsidP="00C063E3">
      <w:pPr>
        <w:ind w:firstLine="720"/>
        <w:jc w:val="both"/>
        <w:rPr>
          <w:lang w:val="ro-RO"/>
        </w:rPr>
      </w:pPr>
      <w:proofErr w:type="spellStart"/>
      <w:r>
        <w:rPr>
          <w:lang w:val="en-US"/>
        </w:rPr>
        <w:t>Totodată</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cadrul</w:t>
      </w:r>
      <w:proofErr w:type="spellEnd"/>
      <w:r>
        <w:rPr>
          <w:lang w:val="en-US"/>
        </w:rPr>
        <w:t xml:space="preserve"> </w:t>
      </w:r>
      <w:proofErr w:type="spellStart"/>
      <w:r>
        <w:rPr>
          <w:lang w:val="en-US"/>
        </w:rPr>
        <w:t>activităților</w:t>
      </w:r>
      <w:proofErr w:type="spellEnd"/>
      <w:r>
        <w:rPr>
          <w:lang w:val="en-US"/>
        </w:rPr>
        <w:t xml:space="preserve"> de control AST </w:t>
      </w:r>
      <w:proofErr w:type="gramStart"/>
      <w:r>
        <w:rPr>
          <w:lang w:val="en-US"/>
        </w:rPr>
        <w:t>a</w:t>
      </w:r>
      <w:proofErr w:type="gramEnd"/>
      <w:r>
        <w:rPr>
          <w:lang w:val="en-US"/>
        </w:rPr>
        <w:t xml:space="preserve"> </w:t>
      </w:r>
      <w:proofErr w:type="spellStart"/>
      <w:r>
        <w:rPr>
          <w:lang w:val="en-US"/>
        </w:rPr>
        <w:t>acordat</w:t>
      </w:r>
      <w:proofErr w:type="spellEnd"/>
      <w:r>
        <w:rPr>
          <w:lang w:val="en-US"/>
        </w:rPr>
        <w:t xml:space="preserve"> </w:t>
      </w:r>
      <w:proofErr w:type="spellStart"/>
      <w:r>
        <w:rPr>
          <w:lang w:val="en-US"/>
        </w:rPr>
        <w:t>consultanță</w:t>
      </w:r>
      <w:proofErr w:type="spellEnd"/>
      <w:r>
        <w:rPr>
          <w:lang w:val="en-US"/>
        </w:rPr>
        <w:t xml:space="preserve"> </w:t>
      </w:r>
      <w:proofErr w:type="spellStart"/>
      <w:r>
        <w:rPr>
          <w:lang w:val="en-US"/>
        </w:rPr>
        <w:t>inclusiv</w:t>
      </w:r>
      <w:proofErr w:type="spellEnd"/>
      <w:r>
        <w:rPr>
          <w:lang w:val="en-US"/>
        </w:rPr>
        <w:t xml:space="preserve"> </w:t>
      </w:r>
      <w:proofErr w:type="spellStart"/>
      <w:r>
        <w:rPr>
          <w:lang w:val="en-US"/>
        </w:rPr>
        <w:t>agenților</w:t>
      </w:r>
      <w:proofErr w:type="spellEnd"/>
      <w:r>
        <w:rPr>
          <w:lang w:val="en-US"/>
        </w:rPr>
        <w:t xml:space="preserve"> </w:t>
      </w:r>
      <w:proofErr w:type="spellStart"/>
      <w:r>
        <w:rPr>
          <w:lang w:val="en-US"/>
        </w:rPr>
        <w:t>economici</w:t>
      </w:r>
      <w:proofErr w:type="spellEnd"/>
      <w:r>
        <w:rPr>
          <w:lang w:val="en-US"/>
        </w:rPr>
        <w:t xml:space="preserve"> care </w:t>
      </w:r>
      <w:proofErr w:type="spellStart"/>
      <w:r>
        <w:rPr>
          <w:lang w:val="en-US"/>
        </w:rPr>
        <w:t>desfășoară</w:t>
      </w:r>
      <w:proofErr w:type="spellEnd"/>
      <w:r>
        <w:rPr>
          <w:lang w:val="en-US"/>
        </w:rPr>
        <w:t xml:space="preserve"> </w:t>
      </w:r>
      <w:proofErr w:type="spellStart"/>
      <w:r>
        <w:rPr>
          <w:lang w:val="en-US"/>
        </w:rPr>
        <w:t>activități</w:t>
      </w:r>
      <w:proofErr w:type="spellEnd"/>
      <w:r>
        <w:rPr>
          <w:lang w:val="en-US"/>
        </w:rPr>
        <w:t xml:space="preserve"> de </w:t>
      </w:r>
      <w:proofErr w:type="spellStart"/>
      <w:r>
        <w:rPr>
          <w:lang w:val="en-US"/>
        </w:rPr>
        <w:t>comerț</w:t>
      </w:r>
      <w:proofErr w:type="spellEnd"/>
      <w:r>
        <w:rPr>
          <w:lang w:val="en-US"/>
        </w:rPr>
        <w:t xml:space="preserve"> a </w:t>
      </w:r>
      <w:r w:rsidR="00DC3D5E" w:rsidRPr="00866277">
        <w:rPr>
          <w:lang w:val="ro-RO"/>
        </w:rPr>
        <w:t>produselor pentru construcții</w:t>
      </w:r>
      <w:r>
        <w:rPr>
          <w:lang w:val="ro-RO"/>
        </w:rPr>
        <w:t xml:space="preserve"> (</w:t>
      </w:r>
      <w:r w:rsidR="00C5279B">
        <w:rPr>
          <w:b/>
          <w:lang w:val="ro-RO"/>
        </w:rPr>
        <w:t>pct.</w:t>
      </w:r>
      <w:r w:rsidRPr="00C063E3">
        <w:rPr>
          <w:b/>
          <w:lang w:val="ro-RO"/>
        </w:rPr>
        <w:t>3.5.2</w:t>
      </w:r>
      <w:r>
        <w:rPr>
          <w:lang w:val="ro-RO"/>
        </w:rPr>
        <w:t>)</w:t>
      </w:r>
      <w:r w:rsidR="00DC3D5E" w:rsidRPr="00866277">
        <w:rPr>
          <w:lang w:val="ro-RO"/>
        </w:rPr>
        <w:t>.</w:t>
      </w:r>
    </w:p>
    <w:p w:rsidR="00D30542" w:rsidRPr="00866277" w:rsidRDefault="00D30542" w:rsidP="00D44FF7">
      <w:pPr>
        <w:ind w:right="90" w:firstLine="720"/>
        <w:jc w:val="both"/>
        <w:rPr>
          <w:lang w:val="en-US" w:eastAsia="ro-RO"/>
        </w:rPr>
      </w:pPr>
    </w:p>
    <w:p w:rsidR="00AA74C6" w:rsidRPr="00866277" w:rsidRDefault="00AA74C6" w:rsidP="00D21B0A">
      <w:pPr>
        <w:jc w:val="center"/>
        <w:rPr>
          <w:rFonts w:ascii="Arial Narrow" w:hAnsi="Arial Narrow"/>
          <w:b/>
          <w:bCs/>
          <w:lang w:val="ro-RO"/>
        </w:rPr>
      </w:pPr>
    </w:p>
    <w:p w:rsidR="00D44FF7" w:rsidRPr="00866277" w:rsidRDefault="00D44FF7">
      <w:pPr>
        <w:spacing w:after="160" w:line="259" w:lineRule="auto"/>
        <w:rPr>
          <w:rFonts w:ascii="Arial Narrow" w:hAnsi="Arial Narrow"/>
          <w:b/>
          <w:bCs/>
          <w:lang w:val="ro-RO"/>
        </w:rPr>
      </w:pPr>
      <w:r w:rsidRPr="00866277">
        <w:rPr>
          <w:rFonts w:ascii="Arial Narrow" w:hAnsi="Arial Narrow"/>
          <w:b/>
          <w:bCs/>
          <w:lang w:val="ro-RO"/>
        </w:rPr>
        <w:br w:type="page"/>
      </w:r>
    </w:p>
    <w:p w:rsidR="0065583F" w:rsidRPr="00866277" w:rsidRDefault="0065583F" w:rsidP="00D21B0A">
      <w:pPr>
        <w:jc w:val="center"/>
        <w:rPr>
          <w:rFonts w:eastAsia="Times New Roman"/>
          <w:b/>
          <w:bCs/>
          <w:lang w:val="ro-RO"/>
        </w:rPr>
      </w:pPr>
      <w:r w:rsidRPr="00866277">
        <w:rPr>
          <w:b/>
          <w:bCs/>
          <w:lang w:val="ro-RO"/>
        </w:rPr>
        <w:lastRenderedPageBreak/>
        <w:t>IV.</w:t>
      </w:r>
      <w:r w:rsidRPr="00866277">
        <w:rPr>
          <w:b/>
          <w:bCs/>
          <w:i/>
          <w:lang w:val="ro-RO"/>
        </w:rPr>
        <w:t xml:space="preserve"> </w:t>
      </w:r>
      <w:r w:rsidRPr="00866277">
        <w:rPr>
          <w:rFonts w:eastAsia="Times New Roman"/>
          <w:b/>
          <w:bCs/>
          <w:lang w:val="ro-RO"/>
        </w:rPr>
        <w:t xml:space="preserve">EFICIENTIZAREA PROCESULUI DE REVENDICARE A DREPTURILOR ŞI </w:t>
      </w:r>
    </w:p>
    <w:p w:rsidR="0065583F" w:rsidRPr="00866277" w:rsidRDefault="0065583F" w:rsidP="00D21B0A">
      <w:pPr>
        <w:jc w:val="center"/>
        <w:rPr>
          <w:rFonts w:eastAsia="Times New Roman"/>
          <w:b/>
          <w:bCs/>
          <w:lang w:val="ro-RO"/>
        </w:rPr>
      </w:pPr>
      <w:r w:rsidRPr="00866277">
        <w:rPr>
          <w:rFonts w:eastAsia="Times New Roman"/>
          <w:b/>
          <w:bCs/>
          <w:lang w:val="ro-RO"/>
        </w:rPr>
        <w:t>DE RECUPERARE A PREJUDICIILOR</w:t>
      </w:r>
    </w:p>
    <w:p w:rsidR="002A0591" w:rsidRPr="00866277" w:rsidRDefault="002A0591" w:rsidP="00D21B0A">
      <w:pPr>
        <w:ind w:firstLine="576"/>
        <w:jc w:val="both"/>
        <w:rPr>
          <w:rFonts w:eastAsia="Times New Roman"/>
          <w:b/>
          <w:bCs/>
          <w:i/>
          <w:lang w:val="ro-RO"/>
        </w:rPr>
      </w:pPr>
    </w:p>
    <w:p w:rsidR="0065583F" w:rsidRPr="00B51CF8" w:rsidRDefault="0065583F" w:rsidP="00037C2C">
      <w:pPr>
        <w:ind w:firstLine="720"/>
        <w:jc w:val="both"/>
        <w:rPr>
          <w:rFonts w:eastAsia="Times New Roman"/>
          <w:b/>
          <w:bCs/>
          <w:lang w:val="ro-RO"/>
        </w:rPr>
      </w:pPr>
      <w:r w:rsidRPr="00B51CF8">
        <w:rPr>
          <w:rFonts w:eastAsia="Times New Roman"/>
          <w:b/>
          <w:bCs/>
          <w:lang w:val="ro-RO"/>
        </w:rPr>
        <w:t xml:space="preserve">4.2. Consolidarea </w:t>
      </w:r>
      <w:r w:rsidR="00333C3C" w:rsidRPr="00B51CF8">
        <w:rPr>
          <w:rFonts w:eastAsia="Times New Roman"/>
          <w:b/>
          <w:bCs/>
          <w:lang w:val="ro-RO"/>
        </w:rPr>
        <w:t>capacităților</w:t>
      </w:r>
      <w:r w:rsidRPr="00B51CF8">
        <w:rPr>
          <w:rFonts w:eastAsia="Times New Roman"/>
          <w:b/>
          <w:bCs/>
          <w:lang w:val="ro-RO"/>
        </w:rPr>
        <w:t xml:space="preserve"> </w:t>
      </w:r>
      <w:r w:rsidR="00333C3C" w:rsidRPr="00B51CF8">
        <w:rPr>
          <w:rFonts w:eastAsia="Times New Roman"/>
          <w:b/>
          <w:bCs/>
          <w:lang w:val="ro-RO"/>
        </w:rPr>
        <w:t>instituționale</w:t>
      </w:r>
      <w:r w:rsidRPr="00B51CF8">
        <w:rPr>
          <w:rFonts w:eastAsia="Times New Roman"/>
          <w:b/>
          <w:bCs/>
          <w:lang w:val="ro-RO"/>
        </w:rPr>
        <w:t xml:space="preserve"> privind revendicarea drepturilor </w:t>
      </w:r>
      <w:proofErr w:type="spellStart"/>
      <w:r w:rsidRPr="00B51CF8">
        <w:rPr>
          <w:rFonts w:eastAsia="Times New Roman"/>
          <w:b/>
          <w:bCs/>
          <w:lang w:val="ro-RO"/>
        </w:rPr>
        <w:t>şi</w:t>
      </w:r>
      <w:proofErr w:type="spellEnd"/>
      <w:r w:rsidRPr="00B51CF8">
        <w:rPr>
          <w:rFonts w:eastAsia="Times New Roman"/>
          <w:b/>
          <w:bCs/>
          <w:lang w:val="ro-RO"/>
        </w:rPr>
        <w:t xml:space="preserve"> recuperarea prejudiciilor în sis</w:t>
      </w:r>
      <w:r w:rsidR="00B51CF8">
        <w:rPr>
          <w:rFonts w:eastAsia="Times New Roman"/>
          <w:b/>
          <w:bCs/>
          <w:lang w:val="ro-RO"/>
        </w:rPr>
        <w:t xml:space="preserve">temul judiciar </w:t>
      </w:r>
      <w:proofErr w:type="spellStart"/>
      <w:r w:rsidR="00B51CF8">
        <w:rPr>
          <w:rFonts w:eastAsia="Times New Roman"/>
          <w:b/>
          <w:bCs/>
          <w:lang w:val="ro-RO"/>
        </w:rPr>
        <w:t>şi</w:t>
      </w:r>
      <w:proofErr w:type="spellEnd"/>
      <w:r w:rsidR="00B51CF8">
        <w:rPr>
          <w:rFonts w:eastAsia="Times New Roman"/>
          <w:b/>
          <w:bCs/>
          <w:lang w:val="ro-RO"/>
        </w:rPr>
        <w:t xml:space="preserve"> extrajudiciar.</w:t>
      </w:r>
    </w:p>
    <w:p w:rsidR="007D01EE" w:rsidRPr="00866277" w:rsidRDefault="002A0591" w:rsidP="00037C2C">
      <w:pPr>
        <w:ind w:firstLine="720"/>
        <w:jc w:val="both"/>
        <w:rPr>
          <w:lang w:val="ro-MD"/>
        </w:rPr>
      </w:pPr>
      <w:r w:rsidRPr="00866277">
        <w:rPr>
          <w:lang w:val="ro-RO"/>
        </w:rPr>
        <w:t xml:space="preserve">În scopul promovării sistemului de </w:t>
      </w:r>
      <w:r w:rsidR="00333C3C" w:rsidRPr="00866277">
        <w:rPr>
          <w:lang w:val="ro-RO"/>
        </w:rPr>
        <w:t>petiționare</w:t>
      </w:r>
      <w:r w:rsidRPr="00866277">
        <w:rPr>
          <w:lang w:val="ro-RO"/>
        </w:rPr>
        <w:t xml:space="preserve">, inclusiv a sistemului electronic de </w:t>
      </w:r>
      <w:r w:rsidR="00F31E5F" w:rsidRPr="00866277">
        <w:rPr>
          <w:lang w:val="ro-RO"/>
        </w:rPr>
        <w:t>petiționare</w:t>
      </w:r>
      <w:r w:rsidRPr="00866277">
        <w:rPr>
          <w:lang w:val="ro-RO"/>
        </w:rPr>
        <w:t xml:space="preserve"> (</w:t>
      </w:r>
      <w:r w:rsidRPr="00866277">
        <w:rPr>
          <w:b/>
          <w:lang w:val="ro-RO"/>
        </w:rPr>
        <w:t>pct. 4.2.1</w:t>
      </w:r>
      <w:r w:rsidRPr="00866277">
        <w:rPr>
          <w:lang w:val="ro-RO"/>
        </w:rPr>
        <w:t xml:space="preserve">) </w:t>
      </w:r>
      <w:r w:rsidR="001038C4" w:rsidRPr="00866277">
        <w:rPr>
          <w:lang w:val="ro-RO" w:eastAsia="ro-RO" w:bidi="ro-RO"/>
        </w:rPr>
        <w:t>APCSP</w:t>
      </w:r>
      <w:r w:rsidR="001038C4" w:rsidRPr="00866277">
        <w:rPr>
          <w:lang w:val="ro-RO"/>
        </w:rPr>
        <w:t xml:space="preserve"> </w:t>
      </w:r>
      <w:r w:rsidR="007D01EE" w:rsidRPr="00866277">
        <w:rPr>
          <w:lang w:val="ro-RO"/>
        </w:rPr>
        <w:t xml:space="preserve">pe parcursul anului a înregistrat un număr de 1493 reclamații. În cadrul examinării  reclamațiilor și în Ghișeul  unic, petiționarilor le-au fost distribuite  peste 2000 exemplare de materiale informaționale tematice. </w:t>
      </w:r>
    </w:p>
    <w:p w:rsidR="007D01EE" w:rsidRPr="00866277" w:rsidRDefault="007D01EE" w:rsidP="00037C2C">
      <w:pPr>
        <w:ind w:firstLine="720"/>
        <w:jc w:val="both"/>
        <w:rPr>
          <w:lang w:val="ro-MD"/>
        </w:rPr>
      </w:pPr>
      <w:r w:rsidRPr="00866277">
        <w:rPr>
          <w:lang w:val="ro-MD"/>
        </w:rPr>
        <w:t xml:space="preserve">Pentru a urgenta depunerea petițiilor, ANSA a lansat recepționarea petițiilor prin aplicația VIBER, </w:t>
      </w:r>
      <w:r w:rsidR="0017764E">
        <w:rPr>
          <w:lang w:val="ro-MD"/>
        </w:rPr>
        <w:t xml:space="preserve">prin intermediul căreia </w:t>
      </w:r>
      <w:r w:rsidRPr="00866277">
        <w:rPr>
          <w:lang w:val="ro-MD"/>
        </w:rPr>
        <w:t>au fost înregistrate - 209 de apeluri.</w:t>
      </w:r>
      <w:r w:rsidR="0017764E">
        <w:rPr>
          <w:lang w:val="ro-MD"/>
        </w:rPr>
        <w:t xml:space="preserve"> A</w:t>
      </w:r>
      <w:r w:rsidRPr="00866277">
        <w:rPr>
          <w:lang w:val="ro-MD"/>
        </w:rPr>
        <w:t>u fost examinate 1545</w:t>
      </w:r>
      <w:r w:rsidR="0017764E">
        <w:rPr>
          <w:lang w:val="ro-MD"/>
        </w:rPr>
        <w:t xml:space="preserve"> de petiții/sesizări, din care 82 </w:t>
      </w:r>
      <w:r w:rsidRPr="00866277">
        <w:rPr>
          <w:lang w:val="ro-MD"/>
        </w:rPr>
        <w:t>petiții electronice.</w:t>
      </w:r>
      <w:r w:rsidR="0017764E">
        <w:rPr>
          <w:lang w:val="ro-MD"/>
        </w:rPr>
        <w:t xml:space="preserve"> Este de menționat că l</w:t>
      </w:r>
      <w:r w:rsidRPr="00866277">
        <w:rPr>
          <w:lang w:val="ro-MD"/>
        </w:rPr>
        <w:t>a adresa electronică au mai parvenit 84 petiții, care nu întruneau condițiile Codului 116/2018 pentru care li s-a oferit răspuns în termenii stabiliți.</w:t>
      </w:r>
    </w:p>
    <w:p w:rsidR="007D01EE" w:rsidRPr="00866277" w:rsidRDefault="007D01EE" w:rsidP="007D01EE">
      <w:pPr>
        <w:ind w:right="90"/>
        <w:rPr>
          <w:rFonts w:eastAsia="Times New Roman"/>
          <w:bCs/>
          <w:i/>
          <w:lang w:val="ro-MD"/>
        </w:rPr>
      </w:pPr>
    </w:p>
    <w:p w:rsidR="0065583F" w:rsidRPr="00B51CF8" w:rsidRDefault="0065583F" w:rsidP="007145D6">
      <w:pPr>
        <w:ind w:firstLine="720"/>
        <w:jc w:val="both"/>
        <w:rPr>
          <w:rFonts w:eastAsia="Times New Roman"/>
          <w:b/>
          <w:bCs/>
          <w:lang w:val="ro-RO"/>
        </w:rPr>
      </w:pPr>
      <w:r w:rsidRPr="00B51CF8">
        <w:rPr>
          <w:rFonts w:eastAsia="Times New Roman"/>
          <w:b/>
          <w:bCs/>
          <w:lang w:val="ro-RO"/>
        </w:rPr>
        <w:t xml:space="preserve">4.3. Ridicarea nivelului de încredere în sistemul </w:t>
      </w:r>
      <w:r w:rsidR="00956C7A" w:rsidRPr="00B51CF8">
        <w:rPr>
          <w:rFonts w:eastAsia="Times New Roman"/>
          <w:b/>
          <w:bCs/>
          <w:lang w:val="ro-RO"/>
        </w:rPr>
        <w:t>instituțional</w:t>
      </w:r>
      <w:r w:rsidRPr="00B51CF8">
        <w:rPr>
          <w:rFonts w:eastAsia="Times New Roman"/>
          <w:b/>
          <w:bCs/>
          <w:lang w:val="ro-RO"/>
        </w:rPr>
        <w:t xml:space="preserve"> existent prin promovarea </w:t>
      </w:r>
      <w:r w:rsidR="00956C7A" w:rsidRPr="00B51CF8">
        <w:rPr>
          <w:rFonts w:eastAsia="Times New Roman"/>
          <w:b/>
          <w:bCs/>
          <w:lang w:val="ro-RO"/>
        </w:rPr>
        <w:t>soluțiilor</w:t>
      </w:r>
      <w:r w:rsidR="00B51CF8">
        <w:rPr>
          <w:rFonts w:eastAsia="Times New Roman"/>
          <w:b/>
          <w:bCs/>
          <w:lang w:val="ro-RO"/>
        </w:rPr>
        <w:t xml:space="preserve"> pe care le oferă acesta.</w:t>
      </w:r>
    </w:p>
    <w:p w:rsidR="004D05B5" w:rsidRPr="00866277" w:rsidRDefault="00F31E5F" w:rsidP="007145D6">
      <w:pPr>
        <w:pStyle w:val="ListParagraph"/>
        <w:tabs>
          <w:tab w:val="left" w:pos="324"/>
        </w:tabs>
        <w:spacing w:after="0" w:line="240" w:lineRule="auto"/>
        <w:ind w:left="0" w:firstLine="720"/>
        <w:contextualSpacing w:val="0"/>
        <w:jc w:val="both"/>
        <w:rPr>
          <w:rStyle w:val="Strong"/>
          <w:rFonts w:ascii="Times New Roman" w:eastAsia="Calibri" w:hAnsi="Times New Roman"/>
          <w:sz w:val="24"/>
          <w:szCs w:val="24"/>
          <w:lang w:val="ro-RO"/>
        </w:rPr>
      </w:pPr>
      <w:r w:rsidRPr="00866277">
        <w:rPr>
          <w:rFonts w:ascii="Times New Roman" w:hAnsi="Times New Roman"/>
          <w:sz w:val="24"/>
          <w:szCs w:val="24"/>
          <w:lang w:val="ro-RO"/>
        </w:rPr>
        <w:t xml:space="preserve">În contextul organizării campaniilor de promovare a sistemului instituțional în cadrul autorităților de protecție a consumatorilor </w:t>
      </w:r>
      <w:proofErr w:type="spellStart"/>
      <w:r w:rsidRPr="00866277">
        <w:rPr>
          <w:rFonts w:ascii="Times New Roman" w:hAnsi="Times New Roman"/>
          <w:sz w:val="24"/>
          <w:szCs w:val="24"/>
          <w:lang w:val="ro-RO"/>
        </w:rPr>
        <w:t>şi</w:t>
      </w:r>
      <w:proofErr w:type="spellEnd"/>
      <w:r w:rsidRPr="00866277">
        <w:rPr>
          <w:rFonts w:ascii="Times New Roman" w:hAnsi="Times New Roman"/>
          <w:sz w:val="24"/>
          <w:szCs w:val="24"/>
          <w:lang w:val="ro-RO"/>
        </w:rPr>
        <w:t xml:space="preserve"> а posibilităților ce le oferă aceasta, precum </w:t>
      </w:r>
      <w:proofErr w:type="spellStart"/>
      <w:r w:rsidRPr="00866277">
        <w:rPr>
          <w:rFonts w:ascii="Times New Roman" w:hAnsi="Times New Roman"/>
          <w:sz w:val="24"/>
          <w:szCs w:val="24"/>
          <w:lang w:val="ro-RO"/>
        </w:rPr>
        <w:t>şi</w:t>
      </w:r>
      <w:proofErr w:type="spellEnd"/>
      <w:r w:rsidRPr="00866277">
        <w:rPr>
          <w:rFonts w:ascii="Times New Roman" w:hAnsi="Times New Roman"/>
          <w:sz w:val="24"/>
          <w:szCs w:val="24"/>
          <w:lang w:val="ro-RO"/>
        </w:rPr>
        <w:t xml:space="preserve"> promovarea cazurilor de succes în </w:t>
      </w:r>
      <w:r w:rsidR="00956C7A" w:rsidRPr="00866277">
        <w:rPr>
          <w:rFonts w:ascii="Times New Roman" w:hAnsi="Times New Roman"/>
          <w:sz w:val="24"/>
          <w:szCs w:val="24"/>
          <w:lang w:val="ro-RO"/>
        </w:rPr>
        <w:t>protecția</w:t>
      </w:r>
      <w:r w:rsidRPr="00866277">
        <w:rPr>
          <w:rFonts w:ascii="Times New Roman" w:hAnsi="Times New Roman"/>
          <w:sz w:val="24"/>
          <w:szCs w:val="24"/>
          <w:lang w:val="ro-RO"/>
        </w:rPr>
        <w:t xml:space="preserve"> drepturilor consumatorului (</w:t>
      </w:r>
      <w:r w:rsidRPr="00866277">
        <w:rPr>
          <w:rFonts w:ascii="Times New Roman" w:hAnsi="Times New Roman"/>
          <w:b/>
          <w:sz w:val="24"/>
          <w:szCs w:val="24"/>
          <w:lang w:val="ro-RO"/>
        </w:rPr>
        <w:t>pct. 4.3.1</w:t>
      </w:r>
      <w:r w:rsidRPr="00866277">
        <w:rPr>
          <w:rFonts w:ascii="Times New Roman" w:hAnsi="Times New Roman"/>
          <w:sz w:val="24"/>
          <w:szCs w:val="24"/>
          <w:lang w:val="ro-RO"/>
        </w:rPr>
        <w:t xml:space="preserve">) de către </w:t>
      </w:r>
      <w:r w:rsidR="001038C4" w:rsidRPr="00866277">
        <w:rPr>
          <w:rFonts w:ascii="Times New Roman" w:hAnsi="Times New Roman"/>
          <w:sz w:val="24"/>
          <w:szCs w:val="24"/>
          <w:lang w:val="ro-RO" w:eastAsia="ro-RO" w:bidi="ro-RO"/>
        </w:rPr>
        <w:t>APCSP</w:t>
      </w:r>
      <w:r w:rsidRPr="00866277">
        <w:rPr>
          <w:rFonts w:ascii="Times New Roman" w:hAnsi="Times New Roman"/>
          <w:sz w:val="24"/>
          <w:szCs w:val="24"/>
          <w:lang w:val="ro-RO"/>
        </w:rPr>
        <w:t xml:space="preserve"> </w:t>
      </w:r>
      <w:r w:rsidR="004D05B5" w:rsidRPr="00866277">
        <w:rPr>
          <w:rFonts w:ascii="Times New Roman" w:hAnsi="Times New Roman"/>
          <w:sz w:val="24"/>
          <w:szCs w:val="24"/>
          <w:lang w:val="ro-RO"/>
        </w:rPr>
        <w:t xml:space="preserve">a </w:t>
      </w:r>
      <w:r w:rsidR="00B47F8D">
        <w:rPr>
          <w:rFonts w:ascii="Times New Roman" w:hAnsi="Times New Roman"/>
          <w:sz w:val="24"/>
          <w:szCs w:val="24"/>
          <w:lang w:val="ro-RO"/>
        </w:rPr>
        <w:t xml:space="preserve">fost </w:t>
      </w:r>
      <w:r w:rsidR="004D05B5" w:rsidRPr="00866277">
        <w:rPr>
          <w:rFonts w:ascii="Times New Roman" w:hAnsi="Times New Roman"/>
          <w:sz w:val="24"/>
          <w:szCs w:val="24"/>
          <w:lang w:val="ro-RO"/>
        </w:rPr>
        <w:t>organizat</w:t>
      </w:r>
      <w:r w:rsidR="00B47F8D">
        <w:rPr>
          <w:rFonts w:ascii="Times New Roman" w:hAnsi="Times New Roman"/>
          <w:sz w:val="24"/>
          <w:szCs w:val="24"/>
          <w:lang w:val="ro-RO"/>
        </w:rPr>
        <w:t>ă</w:t>
      </w:r>
      <w:r w:rsidR="004D05B5" w:rsidRPr="00866277">
        <w:rPr>
          <w:rFonts w:ascii="Times New Roman" w:hAnsi="Times New Roman"/>
          <w:sz w:val="24"/>
          <w:szCs w:val="24"/>
          <w:lang w:val="ro-RO"/>
        </w:rPr>
        <w:t xml:space="preserve"> în premieră, la </w:t>
      </w:r>
      <w:r w:rsidR="004D05B5" w:rsidRPr="00866277">
        <w:rPr>
          <w:rStyle w:val="Strong"/>
          <w:rFonts w:ascii="Times New Roman" w:eastAsia="Calibri" w:hAnsi="Times New Roman"/>
          <w:b w:val="0"/>
          <w:sz w:val="24"/>
          <w:szCs w:val="24"/>
          <w:u w:val="single"/>
          <w:lang w:val="ro-RO"/>
        </w:rPr>
        <w:t>18 decembrie 2019 ev</w:t>
      </w:r>
      <w:r w:rsidR="00A90042" w:rsidRPr="00866277">
        <w:rPr>
          <w:rStyle w:val="Strong"/>
          <w:rFonts w:ascii="Times New Roman" w:eastAsia="Calibri" w:hAnsi="Times New Roman"/>
          <w:b w:val="0"/>
          <w:sz w:val="24"/>
          <w:szCs w:val="24"/>
          <w:u w:val="single"/>
          <w:lang w:val="ro-RO"/>
        </w:rPr>
        <w:t>enimentul „Ziua Ușilor Deschise”</w:t>
      </w:r>
      <w:r w:rsidR="004D05B5" w:rsidRPr="00866277">
        <w:rPr>
          <w:rStyle w:val="Strong"/>
          <w:rFonts w:ascii="Times New Roman" w:eastAsia="Calibri" w:hAnsi="Times New Roman"/>
          <w:sz w:val="24"/>
          <w:szCs w:val="24"/>
          <w:lang w:val="ro-RO"/>
        </w:rPr>
        <w:t xml:space="preserve">. </w:t>
      </w:r>
    </w:p>
    <w:p w:rsidR="004D05B5" w:rsidRPr="00866277" w:rsidRDefault="004D05B5" w:rsidP="007145D6">
      <w:pPr>
        <w:ind w:firstLine="720"/>
        <w:jc w:val="both"/>
        <w:rPr>
          <w:shd w:val="clear" w:color="auto" w:fill="FFFFFF"/>
          <w:lang w:val="ro-RO"/>
        </w:rPr>
      </w:pPr>
      <w:r w:rsidRPr="00866277">
        <w:rPr>
          <w:lang w:val="ro-RO"/>
        </w:rPr>
        <w:t xml:space="preserve">În acest sens, au fost </w:t>
      </w:r>
      <w:r w:rsidRPr="00866277">
        <w:rPr>
          <w:shd w:val="clear" w:color="auto" w:fill="FFFFFF"/>
          <w:lang w:val="ro-RO"/>
        </w:rPr>
        <w:t>amenajate sectoare distincte cu echipamentele – test din dotare, produse contrafăcute, sala de instruire a invitaților, expoziția desenelor prezentate în cadrul concursului "</w:t>
      </w:r>
      <w:r w:rsidRPr="00866277">
        <w:rPr>
          <w:i/>
          <w:shd w:val="clear" w:color="auto" w:fill="FFFFFF"/>
          <w:lang w:val="ro-RO"/>
        </w:rPr>
        <w:t>Protecția consumatorilor în culori",</w:t>
      </w:r>
      <w:r w:rsidRPr="00866277">
        <w:rPr>
          <w:shd w:val="clear" w:color="auto" w:fill="FFFFFF"/>
          <w:lang w:val="ro-RO"/>
        </w:rPr>
        <w:t xml:space="preserve"> lansat cu ocazia evenimentului. </w:t>
      </w:r>
    </w:p>
    <w:p w:rsidR="004D05B5" w:rsidRPr="00866277" w:rsidRDefault="004D05B5" w:rsidP="007145D6">
      <w:pPr>
        <w:ind w:firstLine="720"/>
        <w:jc w:val="both"/>
        <w:rPr>
          <w:shd w:val="clear" w:color="auto" w:fill="FFFFFF"/>
          <w:lang w:val="ro-RO"/>
        </w:rPr>
      </w:pPr>
      <w:r w:rsidRPr="00866277">
        <w:rPr>
          <w:shd w:val="clear" w:color="auto" w:fill="FFFFFF"/>
          <w:lang w:val="ro-RO"/>
        </w:rPr>
        <w:t xml:space="preserve">A fost deschis Ghișeul consumatorului și </w:t>
      </w:r>
      <w:proofErr w:type="spellStart"/>
      <w:r w:rsidRPr="00866277">
        <w:rPr>
          <w:shd w:val="clear" w:color="auto" w:fill="FFFFFF"/>
          <w:lang w:val="ro-RO"/>
        </w:rPr>
        <w:t>call</w:t>
      </w:r>
      <w:proofErr w:type="spellEnd"/>
      <w:r w:rsidRPr="00866277">
        <w:rPr>
          <w:shd w:val="clear" w:color="auto" w:fill="FFFFFF"/>
          <w:lang w:val="ro-RO"/>
        </w:rPr>
        <w:t>-centrul, în format modernizat, unde zilnic se oferă consultații solicitanților.</w:t>
      </w:r>
    </w:p>
    <w:p w:rsidR="004D05B5" w:rsidRPr="00866277" w:rsidRDefault="004D05B5" w:rsidP="007145D6">
      <w:pPr>
        <w:ind w:firstLine="720"/>
        <w:jc w:val="both"/>
        <w:rPr>
          <w:shd w:val="clear" w:color="auto" w:fill="FFFFFF"/>
          <w:lang w:val="ro-RO"/>
        </w:rPr>
      </w:pPr>
      <w:r w:rsidRPr="00866277">
        <w:rPr>
          <w:shd w:val="clear" w:color="auto" w:fill="FFFFFF"/>
          <w:lang w:val="ro-RO"/>
        </w:rPr>
        <w:t xml:space="preserve">A fost lansat  numărul nou de telefon al consumatorului </w:t>
      </w:r>
      <w:r w:rsidRPr="00866277">
        <w:rPr>
          <w:b/>
          <w:shd w:val="clear" w:color="auto" w:fill="FFFFFF"/>
          <w:lang w:val="ro-RO"/>
        </w:rPr>
        <w:t xml:space="preserve">022-51-51-51 </w:t>
      </w:r>
      <w:r w:rsidRPr="00866277">
        <w:rPr>
          <w:shd w:val="clear" w:color="auto" w:fill="FFFFFF"/>
          <w:lang w:val="ro-RO"/>
        </w:rPr>
        <w:t>care reprezintă</w:t>
      </w:r>
      <w:r w:rsidRPr="00866277">
        <w:rPr>
          <w:b/>
          <w:shd w:val="clear" w:color="auto" w:fill="FFFFFF"/>
          <w:lang w:val="ro-RO"/>
        </w:rPr>
        <w:t xml:space="preserve"> </w:t>
      </w:r>
      <w:r w:rsidRPr="00866277">
        <w:rPr>
          <w:shd w:val="clear" w:color="auto" w:fill="FFFFFF"/>
          <w:lang w:val="ro-RO"/>
        </w:rPr>
        <w:t>o platformă digitală, cu posibilitatea de redirecționare a apelurilor la linia instituțională anticorupție și la telefonul pentru raportarea accidentelor de muncă. Platforma permite preluarea concomitentă a 3 apeluri/înregistrarea convorbirii telefonice.</w:t>
      </w:r>
    </w:p>
    <w:p w:rsidR="004D05B5" w:rsidRPr="00866277" w:rsidRDefault="004D05B5" w:rsidP="007145D6">
      <w:pPr>
        <w:ind w:firstLine="720"/>
        <w:jc w:val="both"/>
        <w:rPr>
          <w:lang w:val="ro-RO"/>
        </w:rPr>
      </w:pPr>
      <w:r w:rsidRPr="00866277">
        <w:rPr>
          <w:shd w:val="clear" w:color="auto" w:fill="FFFFFF"/>
          <w:lang w:val="ro-RO"/>
        </w:rPr>
        <w:t xml:space="preserve">Totodată, au fost distribuite peste 4000 exemplare de </w:t>
      </w:r>
      <w:r w:rsidRPr="00866277">
        <w:rPr>
          <w:lang w:val="ro-RO"/>
        </w:rPr>
        <w:t xml:space="preserve">materiale informaționale și promoționale, inclusiv </w:t>
      </w:r>
      <w:r w:rsidRPr="00866277">
        <w:rPr>
          <w:rFonts w:eastAsia="Calibri"/>
          <w:lang w:val="ro-RO" w:eastAsia="en-US"/>
        </w:rPr>
        <w:t xml:space="preserve">pliante cu diverse tematici pentru consumatori, rechizite promoționale nominalizate, fișa cu numărul nou de telefon al consumatorului, </w:t>
      </w:r>
      <w:r w:rsidRPr="00866277">
        <w:rPr>
          <w:lang w:val="ro-RO"/>
        </w:rPr>
        <w:t>cartea „</w:t>
      </w:r>
      <w:r w:rsidRPr="00866277">
        <w:rPr>
          <w:i/>
          <w:lang w:val="ro-RO"/>
        </w:rPr>
        <w:t xml:space="preserve">Cazuri de succes”, </w:t>
      </w:r>
      <w:r w:rsidRPr="00866277">
        <w:rPr>
          <w:lang w:val="ro-RO"/>
        </w:rPr>
        <w:t>cu cele mai actuale cazuri.</w:t>
      </w:r>
    </w:p>
    <w:p w:rsidR="00B018FE" w:rsidRPr="00866277" w:rsidRDefault="00B018FE" w:rsidP="007145D6">
      <w:pPr>
        <w:ind w:firstLine="720"/>
        <w:jc w:val="both"/>
        <w:rPr>
          <w:lang w:val="ro-RO"/>
        </w:rPr>
      </w:pPr>
    </w:p>
    <w:p w:rsidR="00002B7E" w:rsidRPr="00866277" w:rsidRDefault="00B47F8D" w:rsidP="00B47F8D">
      <w:pPr>
        <w:ind w:firstLine="720"/>
        <w:jc w:val="both"/>
        <w:rPr>
          <w:lang w:val="ro-RO"/>
        </w:rPr>
      </w:pPr>
      <w:r>
        <w:rPr>
          <w:lang w:val="ro-RO"/>
        </w:rPr>
        <w:t>În cadrul respectivei orientări este de remarcat că p</w:t>
      </w:r>
      <w:r w:rsidR="00002B7E" w:rsidRPr="00866277">
        <w:rPr>
          <w:lang w:val="ro-RO"/>
        </w:rPr>
        <w:t>rotecția consumatorului de servicii financiare nebancare constituie o direcție importantă de activitate a CNPF, fiind orientată spre  creșterea incluziunii financiare și ridicarea culturii financiare a populației, aceasta servind drept bază pentru încurajarea investițiilor și impulsionarea dezvoltării pieței financiare nebancare. Pe parcursul lui 2019 au fost desfășurate următoarele activități în domeniul educației financiare:</w:t>
      </w:r>
    </w:p>
    <w:p w:rsidR="00002B7E" w:rsidRPr="00866277" w:rsidRDefault="00002B7E" w:rsidP="007145D6">
      <w:pPr>
        <w:ind w:firstLine="720"/>
        <w:jc w:val="both"/>
        <w:rPr>
          <w:rFonts w:eastAsia="Times New Roman"/>
          <w:bCs/>
          <w:lang w:val="ro-RO"/>
        </w:rPr>
      </w:pPr>
      <w:r w:rsidRPr="00866277">
        <w:rPr>
          <w:rFonts w:eastAsia="Times New Roman"/>
          <w:bCs/>
          <w:lang w:val="ro-RO"/>
        </w:rPr>
        <w:t xml:space="preserve">- CNPF în parteneriat cu  BNM și Centrul Analitic Independent „Expert-Grup” a participat la implementarea </w:t>
      </w:r>
      <w:hyperlink r:id="rId17" w:tgtFrame="_blank" w:history="1">
        <w:r w:rsidRPr="00866277">
          <w:rPr>
            <w:rStyle w:val="Hyperlink"/>
            <w:rFonts w:eastAsia="Times New Roman"/>
            <w:bCs/>
            <w:color w:val="auto"/>
            <w:lang w:val="ro-RO"/>
          </w:rPr>
          <w:t xml:space="preserve"> proiectului de educație financiară</w:t>
        </w:r>
      </w:hyperlink>
      <w:r w:rsidRPr="00866277">
        <w:rPr>
          <w:rFonts w:eastAsia="Times New Roman"/>
          <w:bCs/>
          <w:lang w:val="ro-RO"/>
        </w:rPr>
        <w:t> “</w:t>
      </w:r>
      <w:r w:rsidRPr="00866277">
        <w:rPr>
          <w:rFonts w:eastAsia="Times New Roman"/>
          <w:bCs/>
          <w:i/>
          <w:lang w:val="ro-RO"/>
        </w:rPr>
        <w:t>Învață, dă sens banilor”</w:t>
      </w:r>
      <w:r w:rsidRPr="00866277">
        <w:rPr>
          <w:rFonts w:eastAsia="Times New Roman"/>
          <w:bCs/>
          <w:lang w:val="ro-RO"/>
        </w:rPr>
        <w:t xml:space="preserve"> în cadrul căruia au fost elaborate, distribuite prin social media și plasate pe paginile web materiale </w:t>
      </w:r>
      <w:proofErr w:type="spellStart"/>
      <w:r w:rsidRPr="00866277">
        <w:rPr>
          <w:rFonts w:eastAsia="Times New Roman"/>
          <w:bCs/>
          <w:lang w:val="ro-RO"/>
        </w:rPr>
        <w:t>info</w:t>
      </w:r>
      <w:proofErr w:type="spellEnd"/>
      <w:r w:rsidRPr="00866277">
        <w:rPr>
          <w:rFonts w:eastAsia="Times New Roman"/>
          <w:bCs/>
          <w:lang w:val="ro-RO"/>
        </w:rPr>
        <w:t xml:space="preserve">-grafice. </w:t>
      </w:r>
    </w:p>
    <w:p w:rsidR="00002B7E" w:rsidRPr="00866277" w:rsidRDefault="00002B7E" w:rsidP="007145D6">
      <w:pPr>
        <w:ind w:firstLine="720"/>
        <w:jc w:val="both"/>
        <w:rPr>
          <w:rFonts w:eastAsia="Times New Roman"/>
          <w:bCs/>
          <w:lang w:val="ro-RO"/>
        </w:rPr>
      </w:pPr>
      <w:r w:rsidRPr="00866277">
        <w:rPr>
          <w:rFonts w:eastAsia="Times New Roman"/>
          <w:bCs/>
          <w:lang w:val="ro-RO"/>
        </w:rPr>
        <w:t>- În cadrul proiectului OECD de asistență tehnică (CNPF,  BNM, MF) a fost completat chestionarul OECD privind evaluarea Educației Financiare în Republica Moldova. Urmare a completării chestionarului a fost prezentat  Raportul OECD privind evaluarea RM, care conține recomandări pentru dezvoltarea în continuare a educației financiare în RM.</w:t>
      </w:r>
    </w:p>
    <w:p w:rsidR="00002B7E" w:rsidRPr="00866277" w:rsidRDefault="00002B7E" w:rsidP="007145D6">
      <w:pPr>
        <w:ind w:firstLine="720"/>
        <w:jc w:val="both"/>
        <w:rPr>
          <w:rFonts w:eastAsia="Times New Roman"/>
          <w:bCs/>
          <w:lang w:val="ro-RO"/>
        </w:rPr>
      </w:pPr>
      <w:r w:rsidRPr="00866277">
        <w:rPr>
          <w:rFonts w:eastAsia="Times New Roman"/>
          <w:bCs/>
          <w:lang w:val="ro-RO"/>
        </w:rPr>
        <w:t>- În contextul relațiilor de colaborare între Autoritatea de Supraveghere Financiară din România (ASF) și CNPF a fost semnat un protocol de colaborare care vizează inițierea programelor și activităților aferente educației financiare, inițierea și lansarea programului de activități comune în domeniul educației financiare inclusiv:</w:t>
      </w:r>
    </w:p>
    <w:p w:rsidR="00002B7E" w:rsidRPr="00866277" w:rsidRDefault="00537BE6" w:rsidP="007145D6">
      <w:pPr>
        <w:pStyle w:val="ListParagraph"/>
        <w:numPr>
          <w:ilvl w:val="0"/>
          <w:numId w:val="19"/>
        </w:numPr>
        <w:spacing w:after="0" w:line="240" w:lineRule="auto"/>
        <w:ind w:left="0" w:firstLine="720"/>
        <w:contextualSpacing w:val="0"/>
        <w:jc w:val="both"/>
        <w:rPr>
          <w:rFonts w:ascii="Times New Roman" w:hAnsi="Times New Roman"/>
          <w:bCs/>
          <w:sz w:val="24"/>
          <w:szCs w:val="24"/>
          <w:lang w:val="ro-RO"/>
        </w:rPr>
      </w:pPr>
      <w:r>
        <w:rPr>
          <w:rFonts w:ascii="Times New Roman" w:hAnsi="Times New Roman"/>
          <w:bCs/>
          <w:sz w:val="24"/>
          <w:szCs w:val="24"/>
          <w:lang w:val="ro-RO"/>
        </w:rPr>
        <w:t>o</w:t>
      </w:r>
      <w:r w:rsidR="00002B7E" w:rsidRPr="00866277">
        <w:rPr>
          <w:rFonts w:ascii="Times New Roman" w:hAnsi="Times New Roman"/>
          <w:bCs/>
          <w:sz w:val="24"/>
          <w:szCs w:val="24"/>
          <w:lang w:val="ro-RO"/>
        </w:rPr>
        <w:t>rganizarea activităților de instruire în domeniul educației și incluziunii financiare pentru angajații CNPF și reprezentanții participanților profesioniști ai pieței financiare nebancare, precum și desfășurarea programelor de educație financiară pentru consumatorii de servicii financiare nebancare;</w:t>
      </w:r>
    </w:p>
    <w:p w:rsidR="00B47F8D" w:rsidRDefault="00537BE6" w:rsidP="00B47F8D">
      <w:pPr>
        <w:pStyle w:val="ListParagraph"/>
        <w:numPr>
          <w:ilvl w:val="0"/>
          <w:numId w:val="19"/>
        </w:numPr>
        <w:spacing w:after="0" w:line="240" w:lineRule="auto"/>
        <w:ind w:left="0" w:firstLine="720"/>
        <w:contextualSpacing w:val="0"/>
        <w:jc w:val="both"/>
        <w:rPr>
          <w:rFonts w:ascii="Times New Roman" w:hAnsi="Times New Roman"/>
          <w:bCs/>
          <w:sz w:val="24"/>
          <w:szCs w:val="24"/>
          <w:lang w:val="ro-RO"/>
        </w:rPr>
      </w:pPr>
      <w:r>
        <w:rPr>
          <w:rFonts w:ascii="Times New Roman" w:hAnsi="Times New Roman"/>
          <w:bCs/>
          <w:sz w:val="24"/>
          <w:szCs w:val="24"/>
          <w:lang w:val="ro-RO"/>
        </w:rPr>
        <w:lastRenderedPageBreak/>
        <w:t>d</w:t>
      </w:r>
      <w:r w:rsidR="00002B7E" w:rsidRPr="00866277">
        <w:rPr>
          <w:rFonts w:ascii="Times New Roman" w:hAnsi="Times New Roman"/>
          <w:bCs/>
          <w:sz w:val="24"/>
          <w:szCs w:val="24"/>
          <w:lang w:val="ro-RO"/>
        </w:rPr>
        <w:t>ezvoltarea unei platforme informatice, care să conțină materialele informative și informații privind toate evenimentele organizate de parteneri în scopul îmbunătățirii educației financiare a populației;</w:t>
      </w:r>
    </w:p>
    <w:p w:rsidR="00002B7E" w:rsidRPr="00B47F8D" w:rsidRDefault="00537BE6" w:rsidP="00B47F8D">
      <w:pPr>
        <w:pStyle w:val="ListParagraph"/>
        <w:numPr>
          <w:ilvl w:val="0"/>
          <w:numId w:val="19"/>
        </w:numPr>
        <w:spacing w:after="0" w:line="240" w:lineRule="auto"/>
        <w:ind w:left="0" w:firstLine="720"/>
        <w:contextualSpacing w:val="0"/>
        <w:jc w:val="both"/>
        <w:rPr>
          <w:rFonts w:ascii="Times New Roman" w:hAnsi="Times New Roman"/>
          <w:bCs/>
          <w:sz w:val="24"/>
          <w:szCs w:val="24"/>
          <w:lang w:val="ro-RO"/>
        </w:rPr>
      </w:pPr>
      <w:r>
        <w:rPr>
          <w:rFonts w:ascii="Times New Roman" w:hAnsi="Times New Roman"/>
          <w:bCs/>
          <w:sz w:val="24"/>
          <w:szCs w:val="24"/>
          <w:lang w:val="ro-RO"/>
        </w:rPr>
        <w:t>i</w:t>
      </w:r>
      <w:r w:rsidR="00002B7E" w:rsidRPr="00B47F8D">
        <w:rPr>
          <w:rFonts w:ascii="Times New Roman" w:hAnsi="Times New Roman"/>
          <w:bCs/>
          <w:sz w:val="24"/>
          <w:szCs w:val="24"/>
          <w:lang w:val="ro-RO"/>
        </w:rPr>
        <w:t xml:space="preserve">mplementarea proiectului în parteneriat cu Centrul de formare continuă </w:t>
      </w:r>
      <w:proofErr w:type="spellStart"/>
      <w:r w:rsidR="00002B7E" w:rsidRPr="00B47F8D">
        <w:rPr>
          <w:rFonts w:ascii="Times New Roman" w:hAnsi="Times New Roman"/>
          <w:bCs/>
          <w:sz w:val="24"/>
          <w:szCs w:val="24"/>
          <w:lang w:val="ro-RO"/>
        </w:rPr>
        <w:t>FINPractice</w:t>
      </w:r>
      <w:proofErr w:type="spellEnd"/>
      <w:r w:rsidR="00002B7E" w:rsidRPr="00B47F8D">
        <w:rPr>
          <w:rFonts w:ascii="Times New Roman" w:hAnsi="Times New Roman"/>
          <w:bCs/>
          <w:sz w:val="24"/>
          <w:szCs w:val="24"/>
          <w:lang w:val="ro-RO"/>
        </w:rPr>
        <w:t xml:space="preserve">, în cadrul căruia au fost desfășurate 2 activități de pregătire, perfecționare și specializare profesională a specialiștilor în domeniul financiar și au fost elaborate </w:t>
      </w:r>
      <w:proofErr w:type="spellStart"/>
      <w:r w:rsidR="00002B7E" w:rsidRPr="00B47F8D">
        <w:rPr>
          <w:rFonts w:ascii="Times New Roman" w:hAnsi="Times New Roman"/>
          <w:bCs/>
          <w:sz w:val="24"/>
          <w:szCs w:val="24"/>
          <w:lang w:val="ro-RO"/>
        </w:rPr>
        <w:t>Curricule</w:t>
      </w:r>
      <w:proofErr w:type="spellEnd"/>
      <w:r w:rsidR="00002B7E" w:rsidRPr="00B47F8D">
        <w:rPr>
          <w:rFonts w:ascii="Times New Roman" w:hAnsi="Times New Roman"/>
          <w:bCs/>
          <w:sz w:val="24"/>
          <w:szCs w:val="24"/>
          <w:lang w:val="ro-RO"/>
        </w:rPr>
        <w:t xml:space="preserve"> pentru 2 cursuri de instruire în domeniul asigurărilor. Organizarea activităților de instruire în domeniul educației și incluziunii financiare pentru angajații CNPF și reprezentanții participanților profesioniști ai pieței financiare nebancare, precum și desfășurarea programelor de educație financiară pentru consumatorii de servicii financiare nebancare;</w:t>
      </w:r>
    </w:p>
    <w:p w:rsidR="00002B7E" w:rsidRPr="00866277" w:rsidRDefault="00537BE6" w:rsidP="007145D6">
      <w:pPr>
        <w:pStyle w:val="ListParagraph"/>
        <w:numPr>
          <w:ilvl w:val="0"/>
          <w:numId w:val="19"/>
        </w:numPr>
        <w:spacing w:after="0" w:line="240" w:lineRule="auto"/>
        <w:ind w:left="0" w:firstLine="720"/>
        <w:contextualSpacing w:val="0"/>
        <w:jc w:val="both"/>
        <w:rPr>
          <w:rFonts w:ascii="Times New Roman" w:hAnsi="Times New Roman"/>
          <w:bCs/>
          <w:sz w:val="24"/>
          <w:szCs w:val="24"/>
          <w:lang w:val="ro-RO"/>
        </w:rPr>
      </w:pPr>
      <w:r>
        <w:rPr>
          <w:rFonts w:ascii="Times New Roman" w:hAnsi="Times New Roman"/>
          <w:bCs/>
          <w:sz w:val="24"/>
          <w:szCs w:val="24"/>
          <w:lang w:val="ro-RO"/>
        </w:rPr>
        <w:t>d</w:t>
      </w:r>
      <w:r w:rsidR="00002B7E" w:rsidRPr="00866277">
        <w:rPr>
          <w:rFonts w:ascii="Times New Roman" w:hAnsi="Times New Roman"/>
          <w:bCs/>
          <w:sz w:val="24"/>
          <w:szCs w:val="24"/>
          <w:lang w:val="ro-RO"/>
        </w:rPr>
        <w:t>ezvoltarea unei platforme informatice, care să conțină materialele informative și informații privind toate evenimentele organizate de parteneri în scopul îmbunătățirii educației financiare a populației;</w:t>
      </w:r>
    </w:p>
    <w:p w:rsidR="00002B7E" w:rsidRPr="00866277" w:rsidRDefault="00002B7E" w:rsidP="007145D6">
      <w:pPr>
        <w:ind w:firstLine="720"/>
        <w:jc w:val="both"/>
        <w:rPr>
          <w:bCs/>
          <w:lang w:val="ro-RO"/>
        </w:rPr>
      </w:pPr>
      <w:r w:rsidRPr="00866277">
        <w:rPr>
          <w:rFonts w:eastAsia="Times New Roman"/>
          <w:bCs/>
          <w:lang w:val="ro-RO"/>
        </w:rPr>
        <w:t xml:space="preserve">- Implementarea proiectului în parteneriat cu Centrul de formare continuă </w:t>
      </w:r>
      <w:proofErr w:type="spellStart"/>
      <w:r w:rsidRPr="00866277">
        <w:rPr>
          <w:rFonts w:eastAsia="Times New Roman"/>
          <w:bCs/>
          <w:lang w:val="ro-RO"/>
        </w:rPr>
        <w:t>FINPractice</w:t>
      </w:r>
      <w:proofErr w:type="spellEnd"/>
      <w:r w:rsidRPr="00866277">
        <w:rPr>
          <w:rFonts w:eastAsia="Times New Roman"/>
          <w:bCs/>
          <w:lang w:val="ro-RO"/>
        </w:rPr>
        <w:t xml:space="preserve">, în cadrul căruia au fost desfășurate 2 activități de pregătire, perfecționare și specializare profesională a specialiștilor în domeniul financiar și au fost elaborate </w:t>
      </w:r>
      <w:proofErr w:type="spellStart"/>
      <w:r w:rsidRPr="00866277">
        <w:rPr>
          <w:rFonts w:eastAsia="Times New Roman"/>
          <w:bCs/>
          <w:lang w:val="ro-RO"/>
        </w:rPr>
        <w:t>Curricule</w:t>
      </w:r>
      <w:proofErr w:type="spellEnd"/>
      <w:r w:rsidRPr="00866277">
        <w:rPr>
          <w:rFonts w:eastAsia="Times New Roman"/>
          <w:bCs/>
          <w:lang w:val="ro-RO"/>
        </w:rPr>
        <w:t xml:space="preserve"> pentru 2 cursuri de instruire în domeniul asigurărilor.</w:t>
      </w:r>
    </w:p>
    <w:p w:rsidR="007145D6" w:rsidRPr="00622B1B" w:rsidRDefault="007145D6" w:rsidP="00622B1B">
      <w:pPr>
        <w:ind w:firstLine="720"/>
        <w:jc w:val="both"/>
      </w:pPr>
      <w:proofErr w:type="spellStart"/>
      <w:r w:rsidRPr="00622B1B">
        <w:t>În</w:t>
      </w:r>
      <w:proofErr w:type="spellEnd"/>
      <w:r w:rsidRPr="00622B1B">
        <w:t xml:space="preserve"> </w:t>
      </w:r>
      <w:proofErr w:type="spellStart"/>
      <w:r w:rsidRPr="00622B1B">
        <w:t>perioada</w:t>
      </w:r>
      <w:proofErr w:type="spellEnd"/>
      <w:r w:rsidRPr="00622B1B">
        <w:t xml:space="preserve"> </w:t>
      </w:r>
      <w:proofErr w:type="spellStart"/>
      <w:r w:rsidRPr="00622B1B">
        <w:t>campaniilor</w:t>
      </w:r>
      <w:proofErr w:type="spellEnd"/>
      <w:r w:rsidRPr="00622B1B">
        <w:t xml:space="preserve"> de </w:t>
      </w:r>
      <w:proofErr w:type="spellStart"/>
      <w:r w:rsidRPr="00622B1B">
        <w:t>salubrizare</w:t>
      </w:r>
      <w:proofErr w:type="spellEnd"/>
      <w:r w:rsidRPr="00622B1B">
        <w:t xml:space="preserve"> </w:t>
      </w:r>
      <w:proofErr w:type="spellStart"/>
      <w:r w:rsidRPr="00622B1B">
        <w:t>și</w:t>
      </w:r>
      <w:proofErr w:type="spellEnd"/>
      <w:r w:rsidR="00B47F8D" w:rsidRPr="00622B1B">
        <w:t xml:space="preserve"> </w:t>
      </w:r>
      <w:proofErr w:type="spellStart"/>
      <w:r w:rsidR="00B47F8D" w:rsidRPr="00622B1B">
        <w:t>amenajare</w:t>
      </w:r>
      <w:proofErr w:type="spellEnd"/>
      <w:r w:rsidR="00B47F8D" w:rsidRPr="00622B1B">
        <w:t xml:space="preserve"> a </w:t>
      </w:r>
      <w:proofErr w:type="spellStart"/>
      <w:r w:rsidR="00B47F8D" w:rsidRPr="00622B1B">
        <w:t>localităților</w:t>
      </w:r>
      <w:proofErr w:type="spellEnd"/>
      <w:r w:rsidR="00B47F8D" w:rsidRPr="00622B1B">
        <w:t xml:space="preserve"> de </w:t>
      </w:r>
      <w:proofErr w:type="spellStart"/>
      <w:r w:rsidR="00B47F8D" w:rsidRPr="00622B1B">
        <w:t>că</w:t>
      </w:r>
      <w:r w:rsidRPr="00622B1B">
        <w:t>tre</w:t>
      </w:r>
      <w:proofErr w:type="spellEnd"/>
      <w:r w:rsidRPr="00622B1B">
        <w:t xml:space="preserve"> </w:t>
      </w:r>
      <w:proofErr w:type="spellStart"/>
      <w:r w:rsidRPr="00622B1B">
        <w:t>inspectorii</w:t>
      </w:r>
      <w:proofErr w:type="spellEnd"/>
      <w:r w:rsidRPr="00622B1B">
        <w:t xml:space="preserve"> de </w:t>
      </w:r>
      <w:proofErr w:type="spellStart"/>
      <w:r w:rsidRPr="00622B1B">
        <w:t>mediu</w:t>
      </w:r>
      <w:proofErr w:type="spellEnd"/>
      <w:r w:rsidRPr="00622B1B">
        <w:t xml:space="preserve"> au </w:t>
      </w:r>
      <w:proofErr w:type="spellStart"/>
      <w:r w:rsidRPr="00622B1B">
        <w:t>fost</w:t>
      </w:r>
      <w:proofErr w:type="spellEnd"/>
      <w:r w:rsidRPr="00622B1B">
        <w:t xml:space="preserve"> </w:t>
      </w:r>
      <w:proofErr w:type="spellStart"/>
      <w:r w:rsidRPr="00622B1B">
        <w:t>organizate</w:t>
      </w:r>
      <w:proofErr w:type="spellEnd"/>
      <w:r w:rsidRPr="00622B1B">
        <w:t xml:space="preserve"> 1268 </w:t>
      </w:r>
      <w:proofErr w:type="spellStart"/>
      <w:r w:rsidRPr="00622B1B">
        <w:t>raiduri</w:t>
      </w:r>
      <w:proofErr w:type="spellEnd"/>
      <w:r w:rsidRPr="00622B1B">
        <w:t xml:space="preserve"> </w:t>
      </w:r>
      <w:proofErr w:type="spellStart"/>
      <w:r w:rsidRPr="00622B1B">
        <w:t>ecologice</w:t>
      </w:r>
      <w:proofErr w:type="spellEnd"/>
      <w:r w:rsidRPr="00622B1B">
        <w:t xml:space="preserve">, </w:t>
      </w:r>
      <w:proofErr w:type="spellStart"/>
      <w:r w:rsidRPr="00622B1B">
        <w:t>în</w:t>
      </w:r>
      <w:proofErr w:type="spellEnd"/>
      <w:r w:rsidRPr="00622B1B">
        <w:t xml:space="preserve"> </w:t>
      </w:r>
      <w:proofErr w:type="spellStart"/>
      <w:r w:rsidRPr="00622B1B">
        <w:t>comun</w:t>
      </w:r>
      <w:proofErr w:type="spellEnd"/>
      <w:r w:rsidRPr="00622B1B">
        <w:t xml:space="preserve"> cu </w:t>
      </w:r>
      <w:proofErr w:type="spellStart"/>
      <w:r w:rsidRPr="00622B1B">
        <w:t>reprezentanț</w:t>
      </w:r>
      <w:r w:rsidR="00622B1B">
        <w:t>ii</w:t>
      </w:r>
      <w:proofErr w:type="spellEnd"/>
      <w:r w:rsidR="00622B1B">
        <w:t xml:space="preserve"> </w:t>
      </w:r>
      <w:proofErr w:type="spellStart"/>
      <w:r w:rsidR="00622B1B">
        <w:t>autorităților</w:t>
      </w:r>
      <w:proofErr w:type="spellEnd"/>
      <w:r w:rsidR="00622B1B">
        <w:t xml:space="preserve"> </w:t>
      </w:r>
      <w:proofErr w:type="spellStart"/>
      <w:r w:rsidR="00622B1B">
        <w:t>publice</w:t>
      </w:r>
      <w:proofErr w:type="spellEnd"/>
      <w:r w:rsidR="00622B1B">
        <w:t xml:space="preserve"> locale. </w:t>
      </w:r>
      <w:proofErr w:type="spellStart"/>
      <w:r w:rsidR="00622B1B">
        <w:t>Î</w:t>
      </w:r>
      <w:r w:rsidRPr="00622B1B">
        <w:t>n</w:t>
      </w:r>
      <w:proofErr w:type="spellEnd"/>
      <w:r w:rsidRPr="00622B1B">
        <w:t xml:space="preserve"> </w:t>
      </w:r>
      <w:proofErr w:type="spellStart"/>
      <w:r w:rsidRPr="00622B1B">
        <w:t>timpul</w:t>
      </w:r>
      <w:proofErr w:type="spellEnd"/>
      <w:r w:rsidRPr="00622B1B">
        <w:t xml:space="preserve"> </w:t>
      </w:r>
      <w:proofErr w:type="spellStart"/>
      <w:r w:rsidR="00622B1B">
        <w:t>acestora</w:t>
      </w:r>
      <w:proofErr w:type="spellEnd"/>
      <w:r w:rsidRPr="00622B1B">
        <w:t xml:space="preserve"> au </w:t>
      </w:r>
      <w:proofErr w:type="spellStart"/>
      <w:r w:rsidRPr="00622B1B">
        <w:t>fost</w:t>
      </w:r>
      <w:proofErr w:type="spellEnd"/>
      <w:r w:rsidRPr="00622B1B">
        <w:t xml:space="preserve"> </w:t>
      </w:r>
      <w:proofErr w:type="spellStart"/>
      <w:r w:rsidRPr="00622B1B">
        <w:t>informate</w:t>
      </w:r>
      <w:proofErr w:type="spellEnd"/>
      <w:r w:rsidR="00622B1B">
        <w:t xml:space="preserve"> </w:t>
      </w:r>
      <w:proofErr w:type="spellStart"/>
      <w:r w:rsidR="00622B1B">
        <w:t>și</w:t>
      </w:r>
      <w:proofErr w:type="spellEnd"/>
      <w:r w:rsidRPr="00622B1B">
        <w:t xml:space="preserve"> </w:t>
      </w:r>
      <w:proofErr w:type="spellStart"/>
      <w:r w:rsidRPr="00622B1B">
        <w:t>avertizate</w:t>
      </w:r>
      <w:proofErr w:type="spellEnd"/>
      <w:r w:rsidRPr="00622B1B">
        <w:t xml:space="preserve"> </w:t>
      </w:r>
      <w:proofErr w:type="spellStart"/>
      <w:r w:rsidRPr="00622B1B">
        <w:t>persoanele</w:t>
      </w:r>
      <w:proofErr w:type="spellEnd"/>
      <w:r w:rsidRPr="00622B1B">
        <w:t xml:space="preserve"> </w:t>
      </w:r>
      <w:proofErr w:type="spellStart"/>
      <w:r w:rsidRPr="00622B1B">
        <w:t>fizice</w:t>
      </w:r>
      <w:proofErr w:type="spellEnd"/>
      <w:r w:rsidRPr="00622B1B">
        <w:t xml:space="preserve"> </w:t>
      </w:r>
      <w:proofErr w:type="spellStart"/>
      <w:r w:rsidRPr="00622B1B">
        <w:t>și</w:t>
      </w:r>
      <w:proofErr w:type="spellEnd"/>
      <w:r w:rsidRPr="00622B1B">
        <w:t xml:space="preserve"> </w:t>
      </w:r>
      <w:proofErr w:type="spellStart"/>
      <w:r w:rsidRPr="00622B1B">
        <w:t>juridice</w:t>
      </w:r>
      <w:proofErr w:type="spellEnd"/>
      <w:r w:rsidRPr="00622B1B">
        <w:t xml:space="preserve"> </w:t>
      </w:r>
      <w:proofErr w:type="spellStart"/>
      <w:r w:rsidRPr="00622B1B">
        <w:t>în</w:t>
      </w:r>
      <w:proofErr w:type="spellEnd"/>
      <w:r w:rsidRPr="00622B1B">
        <w:t xml:space="preserve"> </w:t>
      </w:r>
      <w:proofErr w:type="spellStart"/>
      <w:r w:rsidRPr="00622B1B">
        <w:t>vederea</w:t>
      </w:r>
      <w:proofErr w:type="spellEnd"/>
      <w:r w:rsidRPr="00622B1B">
        <w:t xml:space="preserve"> </w:t>
      </w:r>
      <w:proofErr w:type="spellStart"/>
      <w:r w:rsidRPr="00622B1B">
        <w:t>colectării</w:t>
      </w:r>
      <w:proofErr w:type="spellEnd"/>
      <w:r w:rsidRPr="00622B1B">
        <w:t xml:space="preserve"> separate a </w:t>
      </w:r>
      <w:proofErr w:type="spellStart"/>
      <w:r w:rsidRPr="00622B1B">
        <w:t>deșeurilor</w:t>
      </w:r>
      <w:proofErr w:type="spellEnd"/>
      <w:r w:rsidRPr="00622B1B">
        <w:t xml:space="preserve">, </w:t>
      </w:r>
      <w:proofErr w:type="spellStart"/>
      <w:r w:rsidRPr="00622B1B">
        <w:t>inclusiv</w:t>
      </w:r>
      <w:proofErr w:type="spellEnd"/>
      <w:r w:rsidRPr="00622B1B">
        <w:t xml:space="preserve"> a </w:t>
      </w:r>
      <w:proofErr w:type="spellStart"/>
      <w:r w:rsidRPr="00622B1B">
        <w:t>deșeurilor</w:t>
      </w:r>
      <w:proofErr w:type="spellEnd"/>
      <w:r w:rsidRPr="00622B1B">
        <w:t xml:space="preserve"> de </w:t>
      </w:r>
      <w:proofErr w:type="spellStart"/>
      <w:r w:rsidRPr="00622B1B">
        <w:t>am</w:t>
      </w:r>
      <w:r w:rsidR="00B47F8D" w:rsidRPr="00622B1B">
        <w:t>balaje</w:t>
      </w:r>
      <w:proofErr w:type="spellEnd"/>
      <w:r w:rsidR="00B47F8D" w:rsidRPr="00622B1B">
        <w:t xml:space="preserve"> </w:t>
      </w:r>
      <w:proofErr w:type="spellStart"/>
      <w:r w:rsidR="00B47F8D" w:rsidRPr="00622B1B">
        <w:t>și</w:t>
      </w:r>
      <w:proofErr w:type="spellEnd"/>
      <w:r w:rsidR="00B47F8D" w:rsidRPr="00622B1B">
        <w:t xml:space="preserve"> </w:t>
      </w:r>
      <w:proofErr w:type="spellStart"/>
      <w:r w:rsidR="00B47F8D" w:rsidRPr="00622B1B">
        <w:t>predarea</w:t>
      </w:r>
      <w:proofErr w:type="spellEnd"/>
      <w:r w:rsidR="00B47F8D" w:rsidRPr="00622B1B">
        <w:t xml:space="preserve"> </w:t>
      </w:r>
      <w:proofErr w:type="spellStart"/>
      <w:r w:rsidR="00B47F8D" w:rsidRPr="00622B1B">
        <w:t>ulterioară</w:t>
      </w:r>
      <w:proofErr w:type="spellEnd"/>
      <w:r w:rsidRPr="00622B1B">
        <w:t xml:space="preserve"> </w:t>
      </w:r>
      <w:proofErr w:type="gramStart"/>
      <w:r w:rsidRPr="00622B1B">
        <w:t>a</w:t>
      </w:r>
      <w:proofErr w:type="gramEnd"/>
      <w:r w:rsidRPr="00622B1B">
        <w:t xml:space="preserve"> </w:t>
      </w:r>
      <w:proofErr w:type="spellStart"/>
      <w:r w:rsidRPr="00622B1B">
        <w:t>acestora</w:t>
      </w:r>
      <w:proofErr w:type="spellEnd"/>
      <w:r w:rsidRPr="00622B1B">
        <w:t xml:space="preserve"> </w:t>
      </w:r>
      <w:proofErr w:type="spellStart"/>
      <w:r w:rsidRPr="00622B1B">
        <w:t>agenților</w:t>
      </w:r>
      <w:proofErr w:type="spellEnd"/>
      <w:r w:rsidRPr="00622B1B">
        <w:t xml:space="preserve"> </w:t>
      </w:r>
      <w:proofErr w:type="spellStart"/>
      <w:r w:rsidRPr="00622B1B">
        <w:t>economici</w:t>
      </w:r>
      <w:proofErr w:type="spellEnd"/>
      <w:r w:rsidRPr="00622B1B">
        <w:t xml:space="preserve"> </w:t>
      </w:r>
      <w:proofErr w:type="spellStart"/>
      <w:r w:rsidRPr="00622B1B">
        <w:t>autorizați</w:t>
      </w:r>
      <w:proofErr w:type="spellEnd"/>
      <w:r w:rsidRPr="00622B1B">
        <w:t xml:space="preserve"> </w:t>
      </w:r>
      <w:proofErr w:type="spellStart"/>
      <w:r w:rsidRPr="00622B1B">
        <w:t>pentru</w:t>
      </w:r>
      <w:proofErr w:type="spellEnd"/>
      <w:r w:rsidRPr="00622B1B">
        <w:t xml:space="preserve"> </w:t>
      </w:r>
      <w:proofErr w:type="spellStart"/>
      <w:r w:rsidRPr="00622B1B">
        <w:t>reutilizare</w:t>
      </w:r>
      <w:proofErr w:type="spellEnd"/>
      <w:r w:rsidRPr="00622B1B">
        <w:t>.</w:t>
      </w:r>
    </w:p>
    <w:p w:rsidR="001C67BB" w:rsidRPr="00866277" w:rsidRDefault="001C67BB" w:rsidP="00924950">
      <w:pPr>
        <w:ind w:right="90" w:firstLine="720"/>
        <w:jc w:val="both"/>
        <w:rPr>
          <w:lang w:val="ro-RO"/>
        </w:rPr>
      </w:pPr>
    </w:p>
    <w:p w:rsidR="001C67BB" w:rsidRPr="00866277" w:rsidRDefault="001C67BB" w:rsidP="00924950">
      <w:pPr>
        <w:ind w:right="90" w:firstLine="720"/>
        <w:jc w:val="both"/>
        <w:rPr>
          <w:lang w:val="ro-RO"/>
        </w:rPr>
      </w:pPr>
    </w:p>
    <w:p w:rsidR="0065583F" w:rsidRPr="00866277" w:rsidRDefault="0065583F" w:rsidP="006C0B93">
      <w:pPr>
        <w:ind w:firstLine="720"/>
        <w:jc w:val="both"/>
        <w:rPr>
          <w:b/>
          <w:lang w:val="ro-RO" w:eastAsia="ro-RO"/>
        </w:rPr>
      </w:pPr>
      <w:r w:rsidRPr="00866277">
        <w:rPr>
          <w:rFonts w:eastAsia="Times New Roman"/>
          <w:b/>
          <w:bCs/>
          <w:lang w:val="ro-RO"/>
        </w:rPr>
        <w:t>4.4. Stabilirea bazei de calcul pentru evaluare</w:t>
      </w:r>
    </w:p>
    <w:p w:rsidR="00AC0EBB" w:rsidRPr="00866277" w:rsidRDefault="00617873" w:rsidP="00A9255E">
      <w:pPr>
        <w:ind w:firstLine="720"/>
        <w:jc w:val="both"/>
        <w:rPr>
          <w:lang w:val="ro-RO"/>
        </w:rPr>
      </w:pPr>
      <w:r w:rsidRPr="00866277">
        <w:rPr>
          <w:rFonts w:eastAsia="Times New Roman"/>
          <w:bCs/>
          <w:lang w:val="ro-RO"/>
        </w:rPr>
        <w:t>Cu privire la s</w:t>
      </w:r>
      <w:r w:rsidRPr="00866277">
        <w:rPr>
          <w:lang w:val="ro-RO"/>
        </w:rPr>
        <w:t xml:space="preserve">tabilirea numărului de cazuri în </w:t>
      </w:r>
      <w:r w:rsidR="000E350D" w:rsidRPr="00866277">
        <w:rPr>
          <w:lang w:val="ro-RO"/>
        </w:rPr>
        <w:t>instanță</w:t>
      </w:r>
      <w:r w:rsidRPr="00866277">
        <w:rPr>
          <w:lang w:val="ro-RO"/>
        </w:rPr>
        <w:t xml:space="preserve"> cu referire la apărarea drepturilor consumatorului </w:t>
      </w:r>
      <w:proofErr w:type="spellStart"/>
      <w:r w:rsidRPr="00866277">
        <w:rPr>
          <w:lang w:val="ro-RO"/>
        </w:rPr>
        <w:t>şi</w:t>
      </w:r>
      <w:proofErr w:type="spellEnd"/>
      <w:r w:rsidRPr="00866277">
        <w:rPr>
          <w:lang w:val="ro-RO"/>
        </w:rPr>
        <w:t xml:space="preserve"> recuperarea prejudiciului cauzat de produse </w:t>
      </w:r>
      <w:proofErr w:type="spellStart"/>
      <w:r w:rsidRPr="00866277">
        <w:rPr>
          <w:lang w:val="ro-RO"/>
        </w:rPr>
        <w:t>şi</w:t>
      </w:r>
      <w:proofErr w:type="spellEnd"/>
      <w:r w:rsidRPr="00866277">
        <w:rPr>
          <w:lang w:val="ro-RO"/>
        </w:rPr>
        <w:t xml:space="preserve"> servicii defectuoase (</w:t>
      </w:r>
      <w:r w:rsidRPr="00866277">
        <w:rPr>
          <w:b/>
          <w:lang w:val="ro-RO"/>
        </w:rPr>
        <w:t>pct.</w:t>
      </w:r>
      <w:r w:rsidRPr="00866277">
        <w:rPr>
          <w:rFonts w:eastAsia="Times New Roman"/>
          <w:b/>
          <w:bCs/>
          <w:lang w:val="ro-RO"/>
        </w:rPr>
        <w:t xml:space="preserve"> 4.4.1</w:t>
      </w:r>
      <w:r w:rsidRPr="00866277">
        <w:rPr>
          <w:rFonts w:eastAsia="Times New Roman"/>
          <w:bCs/>
          <w:lang w:val="ro-RO"/>
        </w:rPr>
        <w:t>)</w:t>
      </w:r>
      <w:r w:rsidRPr="00866277">
        <w:rPr>
          <w:rFonts w:eastAsia="Times New Roman"/>
          <w:bCs/>
          <w:i/>
          <w:lang w:val="ro-RO"/>
        </w:rPr>
        <w:t xml:space="preserve"> </w:t>
      </w:r>
      <w:r w:rsidRPr="00866277">
        <w:rPr>
          <w:rFonts w:eastAsia="Times New Roman"/>
          <w:bCs/>
          <w:lang w:val="ro-RO"/>
        </w:rPr>
        <w:t>i</w:t>
      </w:r>
      <w:r w:rsidRPr="00866277">
        <w:rPr>
          <w:lang w:val="ro-RO"/>
        </w:rPr>
        <w:t>nformația este prezentată în anexă.</w:t>
      </w:r>
    </w:p>
    <w:p w:rsidR="00214EB0" w:rsidRPr="00866277" w:rsidRDefault="00181917" w:rsidP="00A9255E">
      <w:pPr>
        <w:ind w:firstLine="720"/>
        <w:jc w:val="both"/>
        <w:rPr>
          <w:rFonts w:eastAsia="Times New Roman"/>
          <w:b/>
          <w:bCs/>
          <w:sz w:val="25"/>
          <w:szCs w:val="25"/>
          <w:lang w:val="ro-RO"/>
        </w:rPr>
      </w:pPr>
      <w:r w:rsidRPr="00866277">
        <w:rPr>
          <w:lang w:val="ro-RO"/>
        </w:rPr>
        <w:t>Analizând</w:t>
      </w:r>
      <w:r w:rsidR="00A83E45" w:rsidRPr="00866277">
        <w:rPr>
          <w:lang w:val="ro-RO"/>
        </w:rPr>
        <w:t xml:space="preserve"> informațiile prezentate de Ministerul Justiției</w:t>
      </w:r>
      <w:r w:rsidR="00B22418" w:rsidRPr="00866277">
        <w:rPr>
          <w:lang w:val="ro-RO"/>
        </w:rPr>
        <w:t xml:space="preserve"> pentru perioada 2019</w:t>
      </w:r>
      <w:r w:rsidR="000E350D" w:rsidRPr="00866277">
        <w:rPr>
          <w:lang w:val="ro-RO"/>
        </w:rPr>
        <w:t xml:space="preserve"> </w:t>
      </w:r>
      <w:r w:rsidR="006276CB" w:rsidRPr="00866277">
        <w:rPr>
          <w:lang w:val="ro-RO"/>
        </w:rPr>
        <w:t xml:space="preserve">în comparație </w:t>
      </w:r>
      <w:r w:rsidR="00B22418" w:rsidRPr="00866277">
        <w:rPr>
          <w:lang w:val="ro-RO"/>
        </w:rPr>
        <w:t>cu perioada anului 2018</w:t>
      </w:r>
      <w:r w:rsidR="000E350D" w:rsidRPr="00866277">
        <w:rPr>
          <w:lang w:val="ro-RO"/>
        </w:rPr>
        <w:t>,</w:t>
      </w:r>
      <w:r w:rsidR="00A83E45" w:rsidRPr="00866277">
        <w:rPr>
          <w:lang w:val="ro-RO"/>
        </w:rPr>
        <w:t xml:space="preserve"> </w:t>
      </w:r>
      <w:r w:rsidR="000E350D" w:rsidRPr="00866277">
        <w:rPr>
          <w:lang w:val="ro-RO"/>
        </w:rPr>
        <w:t xml:space="preserve">concluzionam o creștere </w:t>
      </w:r>
      <w:r w:rsidR="00B22418" w:rsidRPr="00866277">
        <w:rPr>
          <w:lang w:val="ro-RO"/>
        </w:rPr>
        <w:t xml:space="preserve">ușoară </w:t>
      </w:r>
      <w:r w:rsidR="000E350D" w:rsidRPr="00866277">
        <w:rPr>
          <w:lang w:val="ro-RO"/>
        </w:rPr>
        <w:t xml:space="preserve">a numărului de dosare privind apărarea drepturilor consumatorilor examinate în cadrul sistemului judiciar, </w:t>
      </w:r>
      <w:r w:rsidR="00B22418" w:rsidRPr="00866277">
        <w:rPr>
          <w:lang w:val="ro-RO"/>
        </w:rPr>
        <w:t>de</w:t>
      </w:r>
      <w:r w:rsidR="000E350D" w:rsidRPr="00866277">
        <w:rPr>
          <w:lang w:val="ro-RO"/>
        </w:rPr>
        <w:t xml:space="preserve"> la 152 în 2018</w:t>
      </w:r>
      <w:r w:rsidR="00B22418" w:rsidRPr="00866277">
        <w:rPr>
          <w:lang w:val="ro-RO"/>
        </w:rPr>
        <w:t xml:space="preserve"> la 189 în 2019</w:t>
      </w:r>
      <w:r w:rsidR="000E350D" w:rsidRPr="00866277">
        <w:rPr>
          <w:lang w:val="ro-RO"/>
        </w:rPr>
        <w:t xml:space="preserve">. Valoarea monetară a prejudiciilor recuperate conform deciziilor instanțelor în 2017 a fost de  </w:t>
      </w:r>
      <w:r w:rsidR="000E350D" w:rsidRPr="00A9255E">
        <w:rPr>
          <w:u w:val="single"/>
          <w:lang w:val="ro-RO"/>
        </w:rPr>
        <w:t>350676.4 lei</w:t>
      </w:r>
      <w:r w:rsidR="008E5FC8" w:rsidRPr="00A9255E">
        <w:rPr>
          <w:u w:val="single"/>
          <w:lang w:val="ro-RO"/>
        </w:rPr>
        <w:t xml:space="preserve"> </w:t>
      </w:r>
      <w:r w:rsidR="000E350D" w:rsidRPr="00A9255E">
        <w:rPr>
          <w:u w:val="single"/>
          <w:lang w:val="ro-RO"/>
        </w:rPr>
        <w:t>/</w:t>
      </w:r>
      <w:r w:rsidR="008E5FC8" w:rsidRPr="00A9255E">
        <w:rPr>
          <w:u w:val="single"/>
          <w:lang w:val="ro-RO"/>
        </w:rPr>
        <w:t xml:space="preserve"> </w:t>
      </w:r>
      <w:r w:rsidR="000E350D" w:rsidRPr="00A9255E">
        <w:rPr>
          <w:u w:val="single"/>
          <w:lang w:val="ro-RO"/>
        </w:rPr>
        <w:t>17130 Euro</w:t>
      </w:r>
      <w:r w:rsidR="00B22418" w:rsidRPr="00A9255E">
        <w:rPr>
          <w:u w:val="single"/>
          <w:lang w:val="ro-RO"/>
        </w:rPr>
        <w:t xml:space="preserve"> în 2018</w:t>
      </w:r>
      <w:r w:rsidR="00B22418" w:rsidRPr="00866277">
        <w:rPr>
          <w:lang w:val="ro-RO"/>
        </w:rPr>
        <w:t xml:space="preserve"> și </w:t>
      </w:r>
      <w:r w:rsidR="00B22418" w:rsidRPr="00A9255E">
        <w:rPr>
          <w:u w:val="single"/>
          <w:lang w:val="ro-MD"/>
        </w:rPr>
        <w:t>551002 lei/21000 Euro în 2019</w:t>
      </w:r>
      <w:r w:rsidR="008E5FC8" w:rsidRPr="00866277">
        <w:rPr>
          <w:lang w:val="ro-RO"/>
        </w:rPr>
        <w:t>.</w:t>
      </w:r>
      <w:r w:rsidR="00214EB0" w:rsidRPr="00866277">
        <w:rPr>
          <w:rFonts w:eastAsia="Times New Roman"/>
          <w:b/>
          <w:bCs/>
          <w:sz w:val="25"/>
          <w:szCs w:val="25"/>
          <w:lang w:val="ro-RO"/>
        </w:rPr>
        <w:br w:type="page"/>
      </w:r>
    </w:p>
    <w:p w:rsidR="0065583F" w:rsidRPr="00866277" w:rsidRDefault="0065583F" w:rsidP="00D21B0A">
      <w:pPr>
        <w:widowControl w:val="0"/>
        <w:autoSpaceDE w:val="0"/>
        <w:autoSpaceDN w:val="0"/>
        <w:adjustRightInd w:val="0"/>
        <w:jc w:val="center"/>
        <w:rPr>
          <w:rFonts w:eastAsia="Times New Roman"/>
          <w:b/>
          <w:bCs/>
          <w:lang w:val="ro-RO"/>
        </w:rPr>
      </w:pPr>
      <w:r w:rsidRPr="00866277">
        <w:rPr>
          <w:rFonts w:eastAsia="Times New Roman"/>
          <w:b/>
          <w:bCs/>
          <w:lang w:val="ro-RO"/>
        </w:rPr>
        <w:lastRenderedPageBreak/>
        <w:t>V. COOPERAREA INTERNAŢIONALĂ ÎN DOMENIUL PROTECŢIEI CONSUMATORILOR</w:t>
      </w:r>
    </w:p>
    <w:p w:rsidR="0065583F" w:rsidRPr="00866277" w:rsidRDefault="0065583F" w:rsidP="00D21B0A">
      <w:pPr>
        <w:widowControl w:val="0"/>
        <w:autoSpaceDE w:val="0"/>
        <w:autoSpaceDN w:val="0"/>
        <w:adjustRightInd w:val="0"/>
        <w:rPr>
          <w:rFonts w:eastAsia="Times New Roman"/>
          <w:b/>
          <w:bCs/>
          <w:i/>
          <w:lang w:val="ro-RO"/>
        </w:rPr>
      </w:pPr>
    </w:p>
    <w:p w:rsidR="0065583F" w:rsidRPr="00B51CF8" w:rsidRDefault="0065583F" w:rsidP="00D21B0A">
      <w:pPr>
        <w:widowControl w:val="0"/>
        <w:autoSpaceDE w:val="0"/>
        <w:autoSpaceDN w:val="0"/>
        <w:adjustRightInd w:val="0"/>
        <w:ind w:firstLine="720"/>
        <w:rPr>
          <w:b/>
          <w:lang w:val="ro-RO"/>
        </w:rPr>
      </w:pPr>
      <w:r w:rsidRPr="00B51CF8">
        <w:rPr>
          <w:b/>
          <w:lang w:val="ro-RO"/>
        </w:rPr>
        <w:t xml:space="preserve">5.1 Participarea în cadrul Consiliului consultativ în domeniul </w:t>
      </w:r>
      <w:r w:rsidR="000444C0" w:rsidRPr="00B51CF8">
        <w:rPr>
          <w:b/>
          <w:lang w:val="ro-RO"/>
        </w:rPr>
        <w:t>protecției</w:t>
      </w:r>
      <w:r w:rsidRPr="00B51CF8">
        <w:rPr>
          <w:b/>
          <w:lang w:val="ro-RO"/>
        </w:rPr>
        <w:t xml:space="preserve"> consumatorilor statelor-membre ale </w:t>
      </w:r>
      <w:r w:rsidR="000444C0" w:rsidRPr="00B51CF8">
        <w:rPr>
          <w:b/>
          <w:lang w:val="ro-RO"/>
        </w:rPr>
        <w:t>Comunității</w:t>
      </w:r>
      <w:r w:rsidRPr="00B51CF8">
        <w:rPr>
          <w:b/>
          <w:lang w:val="ro-RO"/>
        </w:rPr>
        <w:t xml:space="preserve"> Statelor I</w:t>
      </w:r>
      <w:r w:rsidR="00B51CF8" w:rsidRPr="00B51CF8">
        <w:rPr>
          <w:b/>
          <w:lang w:val="ro-RO"/>
        </w:rPr>
        <w:t>ndependente.</w:t>
      </w:r>
    </w:p>
    <w:p w:rsidR="007F3A76" w:rsidRPr="00BF606A" w:rsidRDefault="00D910E1" w:rsidP="00BF606A">
      <w:pPr>
        <w:ind w:firstLine="720"/>
        <w:jc w:val="both"/>
      </w:pPr>
      <w:proofErr w:type="spellStart"/>
      <w:r w:rsidRPr="00BF606A">
        <w:t>Consiliul</w:t>
      </w:r>
      <w:proofErr w:type="spellEnd"/>
      <w:r w:rsidRPr="00BF606A">
        <w:t xml:space="preserve"> </w:t>
      </w:r>
      <w:proofErr w:type="spellStart"/>
      <w:r w:rsidRPr="00BF606A">
        <w:t>consultativ</w:t>
      </w:r>
      <w:proofErr w:type="spellEnd"/>
      <w:r w:rsidRPr="00BF606A">
        <w:t xml:space="preserve"> al </w:t>
      </w:r>
      <w:proofErr w:type="spellStart"/>
      <w:r w:rsidRPr="00BF606A">
        <w:t>statelor-membre</w:t>
      </w:r>
      <w:proofErr w:type="spellEnd"/>
      <w:r w:rsidRPr="00BF606A">
        <w:t xml:space="preserve"> CSI </w:t>
      </w:r>
      <w:proofErr w:type="spellStart"/>
      <w:r w:rsidRPr="00BF606A">
        <w:t>pentru</w:t>
      </w:r>
      <w:proofErr w:type="spellEnd"/>
      <w:r w:rsidRPr="00BF606A">
        <w:t xml:space="preserve"> </w:t>
      </w:r>
      <w:proofErr w:type="spellStart"/>
      <w:r w:rsidRPr="00BF606A">
        <w:t>protecția</w:t>
      </w:r>
      <w:proofErr w:type="spellEnd"/>
      <w:r w:rsidRPr="00BF606A">
        <w:t xml:space="preserve"> </w:t>
      </w:r>
      <w:proofErr w:type="spellStart"/>
      <w:r w:rsidRPr="00BF606A">
        <w:t>consumatorilor</w:t>
      </w:r>
      <w:proofErr w:type="spellEnd"/>
      <w:r w:rsidRPr="00BF606A">
        <w:t xml:space="preserve"> a </w:t>
      </w:r>
      <w:proofErr w:type="spellStart"/>
      <w:r w:rsidRPr="00BF606A">
        <w:t>fost</w:t>
      </w:r>
      <w:proofErr w:type="spellEnd"/>
      <w:r w:rsidRPr="00BF606A">
        <w:t xml:space="preserve"> </w:t>
      </w:r>
      <w:proofErr w:type="spellStart"/>
      <w:r w:rsidRPr="00BF606A">
        <w:t>creat</w:t>
      </w:r>
      <w:proofErr w:type="spellEnd"/>
      <w:r w:rsidRPr="00BF606A">
        <w:t xml:space="preserve"> </w:t>
      </w:r>
      <w:proofErr w:type="spellStart"/>
      <w:r w:rsidRPr="00BF606A">
        <w:t>în</w:t>
      </w:r>
      <w:proofErr w:type="spellEnd"/>
      <w:r w:rsidRPr="00BF606A">
        <w:t xml:space="preserve"> 2011 </w:t>
      </w:r>
      <w:proofErr w:type="spellStart"/>
      <w:r w:rsidR="000444C0" w:rsidRPr="00BF606A">
        <w:t>și</w:t>
      </w:r>
      <w:proofErr w:type="spellEnd"/>
      <w:r w:rsidRPr="00BF606A">
        <w:t xml:space="preserve"> include </w:t>
      </w:r>
      <w:proofErr w:type="spellStart"/>
      <w:r w:rsidRPr="00BF606A">
        <w:t>în</w:t>
      </w:r>
      <w:proofErr w:type="spellEnd"/>
      <w:r w:rsidRPr="00BF606A">
        <w:t xml:space="preserve"> </w:t>
      </w:r>
      <w:proofErr w:type="spellStart"/>
      <w:r w:rsidR="000444C0" w:rsidRPr="00BF606A">
        <w:t>componența</w:t>
      </w:r>
      <w:proofErr w:type="spellEnd"/>
      <w:r w:rsidRPr="00BF606A">
        <w:t xml:space="preserve"> </w:t>
      </w:r>
      <w:proofErr w:type="spellStart"/>
      <w:r w:rsidRPr="00BF606A">
        <w:t>acestuia</w:t>
      </w:r>
      <w:proofErr w:type="spellEnd"/>
      <w:r w:rsidRPr="00BF606A">
        <w:t xml:space="preserve"> </w:t>
      </w:r>
      <w:proofErr w:type="spellStart"/>
      <w:r w:rsidRPr="00BF606A">
        <w:t>conducătorii</w:t>
      </w:r>
      <w:proofErr w:type="spellEnd"/>
      <w:r w:rsidRPr="00BF606A">
        <w:t xml:space="preserve"> </w:t>
      </w:r>
      <w:proofErr w:type="spellStart"/>
      <w:r w:rsidRPr="00BF606A">
        <w:t>organelor</w:t>
      </w:r>
      <w:proofErr w:type="spellEnd"/>
      <w:r w:rsidRPr="00BF606A">
        <w:t xml:space="preserve"> de stat ale </w:t>
      </w:r>
      <w:proofErr w:type="spellStart"/>
      <w:r w:rsidRPr="00BF606A">
        <w:t>statelor</w:t>
      </w:r>
      <w:proofErr w:type="spellEnd"/>
      <w:r w:rsidRPr="00BF606A">
        <w:t xml:space="preserve"> </w:t>
      </w:r>
      <w:proofErr w:type="spellStart"/>
      <w:r w:rsidRPr="00BF606A">
        <w:t>membre</w:t>
      </w:r>
      <w:proofErr w:type="spellEnd"/>
      <w:r w:rsidRPr="00BF606A">
        <w:t xml:space="preserve"> CSI, </w:t>
      </w:r>
      <w:proofErr w:type="spellStart"/>
      <w:r w:rsidRPr="00BF606A">
        <w:t>responsabili</w:t>
      </w:r>
      <w:proofErr w:type="spellEnd"/>
      <w:r w:rsidRPr="00BF606A">
        <w:t xml:space="preserve"> de </w:t>
      </w:r>
      <w:proofErr w:type="spellStart"/>
      <w:r w:rsidRPr="00BF606A">
        <w:t>domeniul</w:t>
      </w:r>
      <w:proofErr w:type="spellEnd"/>
      <w:r w:rsidRPr="00BF606A">
        <w:t xml:space="preserve"> </w:t>
      </w:r>
      <w:proofErr w:type="spellStart"/>
      <w:r w:rsidRPr="00BF606A">
        <w:t>protecției</w:t>
      </w:r>
      <w:proofErr w:type="spellEnd"/>
      <w:r w:rsidRPr="00BF606A">
        <w:t xml:space="preserve"> </w:t>
      </w:r>
      <w:proofErr w:type="spellStart"/>
      <w:r w:rsidRPr="00BF606A">
        <w:t>consumatorilor</w:t>
      </w:r>
      <w:proofErr w:type="spellEnd"/>
      <w:r w:rsidRPr="00BF606A">
        <w:t xml:space="preserve">. </w:t>
      </w:r>
      <w:proofErr w:type="spellStart"/>
      <w:r w:rsidRPr="00BF606A">
        <w:t>Membrii</w:t>
      </w:r>
      <w:proofErr w:type="spellEnd"/>
      <w:r w:rsidRPr="00BF606A">
        <w:t xml:space="preserve"> </w:t>
      </w:r>
      <w:proofErr w:type="spellStart"/>
      <w:r w:rsidRPr="00BF606A">
        <w:t>Consiliului</w:t>
      </w:r>
      <w:proofErr w:type="spellEnd"/>
      <w:r w:rsidRPr="00BF606A">
        <w:t xml:space="preserve"> se </w:t>
      </w:r>
      <w:proofErr w:type="spellStart"/>
      <w:r w:rsidRPr="00BF606A">
        <w:t>întrunesc</w:t>
      </w:r>
      <w:proofErr w:type="spellEnd"/>
      <w:r w:rsidRPr="00BF606A">
        <w:t xml:space="preserve"> </w:t>
      </w:r>
      <w:proofErr w:type="spellStart"/>
      <w:r w:rsidRPr="00BF606A">
        <w:t>în</w:t>
      </w:r>
      <w:proofErr w:type="spellEnd"/>
      <w:r w:rsidRPr="00BF606A">
        <w:t xml:space="preserve"> </w:t>
      </w:r>
      <w:proofErr w:type="spellStart"/>
      <w:r w:rsidRPr="00BF606A">
        <w:t>ședință</w:t>
      </w:r>
      <w:proofErr w:type="spellEnd"/>
      <w:r w:rsidRPr="00BF606A">
        <w:t xml:space="preserve"> </w:t>
      </w:r>
      <w:proofErr w:type="spellStart"/>
      <w:r w:rsidRPr="00BF606A">
        <w:t>cel</w:t>
      </w:r>
      <w:proofErr w:type="spellEnd"/>
      <w:r w:rsidRPr="00BF606A">
        <w:t xml:space="preserve"> </w:t>
      </w:r>
      <w:proofErr w:type="spellStart"/>
      <w:r w:rsidRPr="00BF606A">
        <w:t>puțin</w:t>
      </w:r>
      <w:proofErr w:type="spellEnd"/>
      <w:r w:rsidRPr="00BF606A">
        <w:t xml:space="preserve"> o </w:t>
      </w:r>
      <w:proofErr w:type="spellStart"/>
      <w:r w:rsidRPr="00BF606A">
        <w:t>dată</w:t>
      </w:r>
      <w:proofErr w:type="spellEnd"/>
      <w:r w:rsidRPr="00BF606A">
        <w:t xml:space="preserve"> </w:t>
      </w:r>
      <w:proofErr w:type="spellStart"/>
      <w:r w:rsidRPr="00BF606A">
        <w:t>pe</w:t>
      </w:r>
      <w:proofErr w:type="spellEnd"/>
      <w:r w:rsidRPr="00BF606A">
        <w:t xml:space="preserve"> an, de </w:t>
      </w:r>
      <w:proofErr w:type="spellStart"/>
      <w:r w:rsidRPr="00BF606A">
        <w:t>regulă</w:t>
      </w:r>
      <w:proofErr w:type="spellEnd"/>
      <w:r w:rsidRPr="00BF606A">
        <w:t xml:space="preserve"> de </w:t>
      </w:r>
      <w:proofErr w:type="spellStart"/>
      <w:r w:rsidRPr="00BF606A">
        <w:t>două</w:t>
      </w:r>
      <w:proofErr w:type="spellEnd"/>
      <w:r w:rsidRPr="00BF606A">
        <w:t xml:space="preserve"> </w:t>
      </w:r>
      <w:proofErr w:type="spellStart"/>
      <w:r w:rsidRPr="00BF606A">
        <w:t>ori</w:t>
      </w:r>
      <w:proofErr w:type="spellEnd"/>
      <w:r w:rsidRPr="00BF606A">
        <w:t xml:space="preserve">. </w:t>
      </w:r>
      <w:proofErr w:type="spellStart"/>
      <w:r w:rsidRPr="00BF606A">
        <w:t>Astfel</w:t>
      </w:r>
      <w:proofErr w:type="spellEnd"/>
      <w:r w:rsidRPr="00BF606A">
        <w:t xml:space="preserve">, </w:t>
      </w:r>
      <w:proofErr w:type="spellStart"/>
      <w:r w:rsidR="00A9255E" w:rsidRPr="00BF606A">
        <w:t>în</w:t>
      </w:r>
      <w:proofErr w:type="spellEnd"/>
      <w:r w:rsidRPr="00BF606A">
        <w:t xml:space="preserve"> </w:t>
      </w:r>
      <w:proofErr w:type="spellStart"/>
      <w:r w:rsidRPr="00BF606A">
        <w:t>anul</w:t>
      </w:r>
      <w:proofErr w:type="spellEnd"/>
      <w:r w:rsidRPr="00BF606A">
        <w:t xml:space="preserve"> 201</w:t>
      </w:r>
      <w:r w:rsidR="009241CA" w:rsidRPr="00BF606A">
        <w:t>9</w:t>
      </w:r>
      <w:r w:rsidR="00A9255E" w:rsidRPr="00BF606A">
        <w:t xml:space="preserve">, </w:t>
      </w:r>
      <w:proofErr w:type="spellStart"/>
      <w:r w:rsidR="000444C0" w:rsidRPr="00BF606A">
        <w:t>Republica</w:t>
      </w:r>
      <w:proofErr w:type="spellEnd"/>
      <w:r w:rsidR="000444C0" w:rsidRPr="00BF606A">
        <w:t xml:space="preserve"> Moldova a </w:t>
      </w:r>
      <w:proofErr w:type="spellStart"/>
      <w:r w:rsidR="000444C0" w:rsidRPr="00BF606A">
        <w:t>particip</w:t>
      </w:r>
      <w:r w:rsidR="00BF606A" w:rsidRPr="00BF606A">
        <w:t>at</w:t>
      </w:r>
      <w:proofErr w:type="spellEnd"/>
      <w:r w:rsidR="00BF606A" w:rsidRPr="00BF606A">
        <w:t xml:space="preserve"> la </w:t>
      </w:r>
      <w:proofErr w:type="spellStart"/>
      <w:r w:rsidR="00BF606A" w:rsidRPr="00BF606A">
        <w:t>ședința</w:t>
      </w:r>
      <w:proofErr w:type="spellEnd"/>
      <w:r w:rsidR="00BF606A" w:rsidRPr="00BF606A">
        <w:t xml:space="preserve"> </w:t>
      </w:r>
      <w:proofErr w:type="spellStart"/>
      <w:r w:rsidR="00C5279B" w:rsidRPr="00BF606A">
        <w:t>organizată</w:t>
      </w:r>
      <w:proofErr w:type="spellEnd"/>
      <w:r w:rsidR="00C5279B" w:rsidRPr="00BF606A">
        <w:t xml:space="preserve"> </w:t>
      </w:r>
      <w:proofErr w:type="spellStart"/>
      <w:r w:rsidR="00C5279B" w:rsidRPr="00BF606A">
        <w:t>în</w:t>
      </w:r>
      <w:proofErr w:type="spellEnd"/>
      <w:r w:rsidR="007F3A76" w:rsidRPr="00BF606A">
        <w:t xml:space="preserve"> or. </w:t>
      </w:r>
      <w:proofErr w:type="spellStart"/>
      <w:r w:rsidR="007F3A76" w:rsidRPr="00BF606A">
        <w:t>Bișkek</w:t>
      </w:r>
      <w:proofErr w:type="spellEnd"/>
      <w:r w:rsidR="007F3A76" w:rsidRPr="00BF606A">
        <w:t xml:space="preserve">, </w:t>
      </w:r>
      <w:proofErr w:type="spellStart"/>
      <w:r w:rsidR="007F3A76" w:rsidRPr="00BF606A">
        <w:t>Republica</w:t>
      </w:r>
      <w:proofErr w:type="spellEnd"/>
      <w:r w:rsidR="007F3A76" w:rsidRPr="00BF606A">
        <w:t xml:space="preserve"> </w:t>
      </w:r>
      <w:proofErr w:type="spellStart"/>
      <w:r w:rsidR="007F3A76" w:rsidRPr="00BF606A">
        <w:t>Kîrgîzstan</w:t>
      </w:r>
      <w:proofErr w:type="spellEnd"/>
      <w:r w:rsidR="007F3A76" w:rsidRPr="00BF606A">
        <w:t xml:space="preserve"> care s-a </w:t>
      </w:r>
      <w:proofErr w:type="spellStart"/>
      <w:r w:rsidR="007F3A76" w:rsidRPr="00BF606A">
        <w:t>desfășurat</w:t>
      </w:r>
      <w:proofErr w:type="spellEnd"/>
      <w:r w:rsidR="007F3A76" w:rsidRPr="00BF606A">
        <w:t xml:space="preserve"> </w:t>
      </w:r>
      <w:proofErr w:type="spellStart"/>
      <w:r w:rsidR="007F3A76" w:rsidRPr="00BF606A">
        <w:t>înperioada</w:t>
      </w:r>
      <w:proofErr w:type="spellEnd"/>
      <w:r w:rsidR="007F3A76" w:rsidRPr="00BF606A">
        <w:t xml:space="preserve"> 25-27 </w:t>
      </w:r>
      <w:proofErr w:type="spellStart"/>
      <w:r w:rsidR="007F3A76" w:rsidRPr="00BF606A">
        <w:t>septembrie</w:t>
      </w:r>
      <w:proofErr w:type="spellEnd"/>
      <w:r w:rsidR="007F3A76" w:rsidRPr="00BF606A">
        <w:t xml:space="preserve"> 2019</w:t>
      </w:r>
      <w:r w:rsidR="000444C0" w:rsidRPr="00BF606A">
        <w:t xml:space="preserve">. </w:t>
      </w:r>
      <w:proofErr w:type="spellStart"/>
      <w:r w:rsidR="007F3A76" w:rsidRPr="00BF606A">
        <w:t>În</w:t>
      </w:r>
      <w:proofErr w:type="spellEnd"/>
      <w:r w:rsidR="007F3A76" w:rsidRPr="00BF606A">
        <w:t xml:space="preserve"> </w:t>
      </w:r>
      <w:proofErr w:type="spellStart"/>
      <w:r w:rsidR="007F3A76" w:rsidRPr="00BF606A">
        <w:t>cadrul</w:t>
      </w:r>
      <w:proofErr w:type="spellEnd"/>
      <w:r w:rsidR="007F3A76" w:rsidRPr="00BF606A">
        <w:t xml:space="preserve"> </w:t>
      </w:r>
      <w:proofErr w:type="spellStart"/>
      <w:r w:rsidR="007F3A76" w:rsidRPr="00BF606A">
        <w:t>ședinței</w:t>
      </w:r>
      <w:proofErr w:type="spellEnd"/>
      <w:r w:rsidR="007F3A76" w:rsidRPr="00BF606A">
        <w:t xml:space="preserve"> au </w:t>
      </w:r>
      <w:proofErr w:type="spellStart"/>
      <w:r w:rsidR="007F3A76" w:rsidRPr="00BF606A">
        <w:t>fost</w:t>
      </w:r>
      <w:proofErr w:type="spellEnd"/>
      <w:r w:rsidR="007F3A76" w:rsidRPr="00BF606A">
        <w:t xml:space="preserve"> </w:t>
      </w:r>
      <w:proofErr w:type="spellStart"/>
      <w:r w:rsidR="007F3A76" w:rsidRPr="00BF606A">
        <w:t>prezentate</w:t>
      </w:r>
      <w:proofErr w:type="spellEnd"/>
      <w:r w:rsidR="007F3A76" w:rsidRPr="00BF606A">
        <w:t xml:space="preserve"> </w:t>
      </w:r>
      <w:proofErr w:type="spellStart"/>
      <w:r w:rsidR="007F3A76" w:rsidRPr="00BF606A">
        <w:t>informaţii</w:t>
      </w:r>
      <w:proofErr w:type="spellEnd"/>
      <w:r w:rsidR="007F3A76" w:rsidRPr="00BF606A">
        <w:t xml:space="preserve"> </w:t>
      </w:r>
      <w:proofErr w:type="spellStart"/>
      <w:r w:rsidR="007F3A76" w:rsidRPr="00BF606A">
        <w:t>relevante</w:t>
      </w:r>
      <w:proofErr w:type="spellEnd"/>
      <w:r w:rsidR="007F3A76" w:rsidRPr="00BF606A">
        <w:t xml:space="preserve"> </w:t>
      </w:r>
      <w:proofErr w:type="spellStart"/>
      <w:r w:rsidR="007F3A76" w:rsidRPr="00BF606A">
        <w:t>în</w:t>
      </w:r>
      <w:proofErr w:type="spellEnd"/>
      <w:r w:rsidR="007F3A76" w:rsidRPr="00BF606A">
        <w:t xml:space="preserve"> </w:t>
      </w:r>
      <w:proofErr w:type="spellStart"/>
      <w:r w:rsidR="007F3A76" w:rsidRPr="00BF606A">
        <w:t>domeniul</w:t>
      </w:r>
      <w:proofErr w:type="spellEnd"/>
      <w:r w:rsidR="007F3A76" w:rsidRPr="00BF606A">
        <w:t xml:space="preserve"> </w:t>
      </w:r>
      <w:proofErr w:type="spellStart"/>
      <w:r w:rsidR="007F3A76" w:rsidRPr="00BF606A">
        <w:t>protecției</w:t>
      </w:r>
      <w:proofErr w:type="spellEnd"/>
      <w:r w:rsidR="007F3A76" w:rsidRPr="00BF606A">
        <w:t xml:space="preserve"> </w:t>
      </w:r>
      <w:proofErr w:type="spellStart"/>
      <w:r w:rsidR="007F3A76" w:rsidRPr="00BF606A">
        <w:t>consumatorilor</w:t>
      </w:r>
      <w:proofErr w:type="spellEnd"/>
      <w:r w:rsidR="007F3A76" w:rsidRPr="00BF606A">
        <w:t xml:space="preserve">, </w:t>
      </w:r>
      <w:proofErr w:type="spellStart"/>
      <w:r w:rsidR="007F3A76" w:rsidRPr="00BF606A">
        <w:t>evoluțiile</w:t>
      </w:r>
      <w:proofErr w:type="spellEnd"/>
      <w:r w:rsidR="007F3A76" w:rsidRPr="00BF606A">
        <w:t xml:space="preserve"> care a</w:t>
      </w:r>
      <w:r w:rsidR="00C5279B">
        <w:t>u</w:t>
      </w:r>
      <w:r w:rsidR="007F3A76" w:rsidRPr="00BF606A">
        <w:t xml:space="preserve"> </w:t>
      </w:r>
      <w:proofErr w:type="spellStart"/>
      <w:r w:rsidR="007F3A76" w:rsidRPr="00BF606A">
        <w:t>avut</w:t>
      </w:r>
      <w:proofErr w:type="spellEnd"/>
      <w:r w:rsidR="007F3A76" w:rsidRPr="00BF606A">
        <w:t xml:space="preserve"> </w:t>
      </w:r>
      <w:proofErr w:type="spellStart"/>
      <w:r w:rsidR="007F3A76" w:rsidRPr="00BF606A">
        <w:t>loc</w:t>
      </w:r>
      <w:proofErr w:type="spellEnd"/>
      <w:r w:rsidR="007F3A76" w:rsidRPr="00BF606A">
        <w:t xml:space="preserve"> </w:t>
      </w:r>
      <w:proofErr w:type="spellStart"/>
      <w:r w:rsidR="007F3A76" w:rsidRPr="00BF606A">
        <w:t>în</w:t>
      </w:r>
      <w:proofErr w:type="spellEnd"/>
      <w:r w:rsidR="007F3A76" w:rsidRPr="00BF606A">
        <w:t xml:space="preserve"> </w:t>
      </w:r>
      <w:proofErr w:type="spellStart"/>
      <w:r w:rsidR="007F3A76" w:rsidRPr="00BF606A">
        <w:t>statele</w:t>
      </w:r>
      <w:proofErr w:type="spellEnd"/>
      <w:r w:rsidR="007F3A76" w:rsidRPr="00BF606A">
        <w:t xml:space="preserve"> </w:t>
      </w:r>
      <w:proofErr w:type="spellStart"/>
      <w:r w:rsidR="007F3A76" w:rsidRPr="00BF606A">
        <w:t>membre</w:t>
      </w:r>
      <w:proofErr w:type="spellEnd"/>
      <w:r w:rsidR="007F3A76" w:rsidRPr="00BF606A">
        <w:t xml:space="preserve"> CSI </w:t>
      </w:r>
      <w:proofErr w:type="spellStart"/>
      <w:r w:rsidR="007F3A76" w:rsidRPr="00BF606A">
        <w:t>în</w:t>
      </w:r>
      <w:proofErr w:type="spellEnd"/>
      <w:r w:rsidR="007F3A76" w:rsidRPr="00BF606A">
        <w:t xml:space="preserve"> </w:t>
      </w:r>
      <w:proofErr w:type="spellStart"/>
      <w:r w:rsidR="007F3A76" w:rsidRPr="00BF606A">
        <w:t>perioada</w:t>
      </w:r>
      <w:proofErr w:type="spellEnd"/>
      <w:r w:rsidR="007F3A76" w:rsidRPr="00BF606A">
        <w:t xml:space="preserve"> </w:t>
      </w:r>
      <w:proofErr w:type="spellStart"/>
      <w:r w:rsidR="007F3A76" w:rsidRPr="00BF606A">
        <w:t>dintre</w:t>
      </w:r>
      <w:proofErr w:type="spellEnd"/>
      <w:r w:rsidR="007F3A76" w:rsidRPr="00BF606A">
        <w:t xml:space="preserve"> </w:t>
      </w:r>
      <w:proofErr w:type="spellStart"/>
      <w:r w:rsidR="007F3A76" w:rsidRPr="00BF606A">
        <w:t>şedinţe</w:t>
      </w:r>
      <w:proofErr w:type="spellEnd"/>
      <w:r w:rsidR="007F3A76" w:rsidRPr="00BF606A">
        <w:t xml:space="preserve">. </w:t>
      </w:r>
      <w:proofErr w:type="spellStart"/>
      <w:r w:rsidR="007F3A76" w:rsidRPr="00BF606A">
        <w:t>În</w:t>
      </w:r>
      <w:proofErr w:type="spellEnd"/>
      <w:r w:rsidR="007F3A76" w:rsidRPr="00BF606A">
        <w:t xml:space="preserve"> </w:t>
      </w:r>
      <w:proofErr w:type="spellStart"/>
      <w:r w:rsidR="007F3A76" w:rsidRPr="00BF606A">
        <w:t>contextul</w:t>
      </w:r>
      <w:proofErr w:type="spellEnd"/>
      <w:r w:rsidR="007F3A76" w:rsidRPr="00BF606A">
        <w:t xml:space="preserve"> </w:t>
      </w:r>
      <w:proofErr w:type="spellStart"/>
      <w:r w:rsidR="007F3A76" w:rsidRPr="00BF606A">
        <w:t>acestui</w:t>
      </w:r>
      <w:proofErr w:type="spellEnd"/>
      <w:r w:rsidR="007F3A76" w:rsidRPr="00BF606A">
        <w:t xml:space="preserve"> </w:t>
      </w:r>
      <w:proofErr w:type="spellStart"/>
      <w:r w:rsidR="007F3A76" w:rsidRPr="00BF606A">
        <w:t>subiect</w:t>
      </w:r>
      <w:proofErr w:type="spellEnd"/>
      <w:r w:rsidR="007F3A76" w:rsidRPr="00BF606A">
        <w:t xml:space="preserve"> au </w:t>
      </w:r>
      <w:proofErr w:type="spellStart"/>
      <w:r w:rsidR="007F3A76" w:rsidRPr="00BF606A">
        <w:t>fost</w:t>
      </w:r>
      <w:proofErr w:type="spellEnd"/>
      <w:r w:rsidR="007F3A76" w:rsidRPr="00BF606A">
        <w:t xml:space="preserve"> </w:t>
      </w:r>
      <w:proofErr w:type="spellStart"/>
      <w:r w:rsidR="007F3A76" w:rsidRPr="00BF606A">
        <w:t>prezentate</w:t>
      </w:r>
      <w:proofErr w:type="spellEnd"/>
      <w:r w:rsidR="007F3A76" w:rsidRPr="00BF606A">
        <w:t xml:space="preserve"> </w:t>
      </w:r>
      <w:proofErr w:type="spellStart"/>
      <w:r w:rsidR="007F3A76" w:rsidRPr="00BF606A">
        <w:t>informaţii</w:t>
      </w:r>
      <w:proofErr w:type="spellEnd"/>
      <w:r w:rsidR="007F3A76" w:rsidRPr="00BF606A">
        <w:t xml:space="preserve"> </w:t>
      </w:r>
      <w:proofErr w:type="spellStart"/>
      <w:r w:rsidR="007F3A76" w:rsidRPr="00BF606A">
        <w:t>referitor</w:t>
      </w:r>
      <w:proofErr w:type="spellEnd"/>
      <w:r w:rsidR="007F3A76" w:rsidRPr="00BF606A">
        <w:t xml:space="preserve"> la </w:t>
      </w:r>
      <w:proofErr w:type="spellStart"/>
      <w:r w:rsidR="007F3A76" w:rsidRPr="00BF606A">
        <w:t>schimbările</w:t>
      </w:r>
      <w:proofErr w:type="spellEnd"/>
      <w:r w:rsidR="007F3A76" w:rsidRPr="00BF606A">
        <w:t xml:space="preserve"> de </w:t>
      </w:r>
      <w:proofErr w:type="spellStart"/>
      <w:r w:rsidR="007F3A76" w:rsidRPr="00BF606A">
        <w:t>ordin</w:t>
      </w:r>
      <w:proofErr w:type="spellEnd"/>
      <w:r w:rsidR="007F3A76" w:rsidRPr="00BF606A">
        <w:t xml:space="preserve"> </w:t>
      </w:r>
      <w:proofErr w:type="spellStart"/>
      <w:r w:rsidR="007F3A76" w:rsidRPr="00BF606A">
        <w:t>legislativ</w:t>
      </w:r>
      <w:proofErr w:type="spellEnd"/>
      <w:r w:rsidR="007F3A76" w:rsidRPr="00BF606A">
        <w:t xml:space="preserve"> </w:t>
      </w:r>
      <w:proofErr w:type="spellStart"/>
      <w:r w:rsidR="007F3A76" w:rsidRPr="00BF606A">
        <w:t>și</w:t>
      </w:r>
      <w:proofErr w:type="spellEnd"/>
      <w:r w:rsidR="007F3A76" w:rsidRPr="00BF606A">
        <w:t xml:space="preserve"> de </w:t>
      </w:r>
      <w:proofErr w:type="spellStart"/>
      <w:r w:rsidR="007F3A76" w:rsidRPr="00BF606A">
        <w:t>implementare</w:t>
      </w:r>
      <w:proofErr w:type="spellEnd"/>
      <w:r w:rsidR="007F3A76" w:rsidRPr="00BF606A">
        <w:t xml:space="preserve"> a </w:t>
      </w:r>
      <w:proofErr w:type="spellStart"/>
      <w:r w:rsidR="007F3A76" w:rsidRPr="00BF606A">
        <w:t>cadrului</w:t>
      </w:r>
      <w:proofErr w:type="spellEnd"/>
      <w:r w:rsidR="007F3A76" w:rsidRPr="00BF606A">
        <w:t xml:space="preserve"> </w:t>
      </w:r>
      <w:proofErr w:type="spellStart"/>
      <w:r w:rsidR="007F3A76" w:rsidRPr="00BF606A">
        <w:t>nou</w:t>
      </w:r>
      <w:proofErr w:type="spellEnd"/>
      <w:r w:rsidR="007F3A76" w:rsidRPr="00BF606A">
        <w:t xml:space="preserve"> </w:t>
      </w:r>
      <w:proofErr w:type="spellStart"/>
      <w:r w:rsidR="007F3A76" w:rsidRPr="00BF606A">
        <w:t>normativ</w:t>
      </w:r>
      <w:proofErr w:type="spellEnd"/>
      <w:r w:rsidR="007F3A76" w:rsidRPr="00BF606A">
        <w:t xml:space="preserve"> </w:t>
      </w:r>
      <w:proofErr w:type="spellStart"/>
      <w:r w:rsidR="007F3A76" w:rsidRPr="00BF606A">
        <w:t>în</w:t>
      </w:r>
      <w:proofErr w:type="spellEnd"/>
      <w:r w:rsidR="007F3A76" w:rsidRPr="00BF606A">
        <w:t xml:space="preserve"> </w:t>
      </w:r>
      <w:proofErr w:type="spellStart"/>
      <w:r w:rsidR="007F3A76" w:rsidRPr="00BF606A">
        <w:t>domeniu</w:t>
      </w:r>
      <w:proofErr w:type="spellEnd"/>
      <w:r w:rsidR="007F3A76" w:rsidRPr="00BF606A">
        <w:t xml:space="preserve"> </w:t>
      </w:r>
      <w:proofErr w:type="spellStart"/>
      <w:r w:rsidR="007F3A76" w:rsidRPr="00BF606A">
        <w:t>armonizat</w:t>
      </w:r>
      <w:proofErr w:type="spellEnd"/>
      <w:r w:rsidR="007F3A76" w:rsidRPr="00BF606A">
        <w:t xml:space="preserve"> cu </w:t>
      </w:r>
      <w:proofErr w:type="spellStart"/>
      <w:r w:rsidR="007F3A76" w:rsidRPr="00BF606A">
        <w:t>standardele</w:t>
      </w:r>
      <w:proofErr w:type="spellEnd"/>
      <w:r w:rsidR="007F3A76" w:rsidRPr="00BF606A">
        <w:t xml:space="preserve"> UE </w:t>
      </w:r>
      <w:proofErr w:type="spellStart"/>
      <w:proofErr w:type="gramStart"/>
      <w:r w:rsidR="007F3A76" w:rsidRPr="00BF606A">
        <w:t>ce</w:t>
      </w:r>
      <w:proofErr w:type="spellEnd"/>
      <w:proofErr w:type="gramEnd"/>
      <w:r w:rsidR="007F3A76" w:rsidRPr="00BF606A">
        <w:t xml:space="preserve"> au </w:t>
      </w:r>
      <w:proofErr w:type="spellStart"/>
      <w:r w:rsidR="007F3A76" w:rsidRPr="00BF606A">
        <w:t>avut</w:t>
      </w:r>
      <w:proofErr w:type="spellEnd"/>
      <w:r w:rsidR="007F3A76" w:rsidRPr="00BF606A">
        <w:t xml:space="preserve"> </w:t>
      </w:r>
      <w:proofErr w:type="spellStart"/>
      <w:r w:rsidR="007F3A76" w:rsidRPr="00BF606A">
        <w:t>loc</w:t>
      </w:r>
      <w:proofErr w:type="spellEnd"/>
      <w:r w:rsidR="007F3A76" w:rsidRPr="00BF606A">
        <w:t xml:space="preserve"> </w:t>
      </w:r>
      <w:proofErr w:type="spellStart"/>
      <w:r w:rsidR="007F3A76" w:rsidRPr="00BF606A">
        <w:t>în</w:t>
      </w:r>
      <w:proofErr w:type="spellEnd"/>
      <w:r w:rsidR="007F3A76" w:rsidRPr="00BF606A">
        <w:t xml:space="preserve"> </w:t>
      </w:r>
      <w:proofErr w:type="spellStart"/>
      <w:r w:rsidR="007F3A76" w:rsidRPr="00BF606A">
        <w:t>Republica</w:t>
      </w:r>
      <w:proofErr w:type="spellEnd"/>
      <w:r w:rsidR="007F3A76" w:rsidRPr="00BF606A">
        <w:t xml:space="preserve"> Moldova </w:t>
      </w:r>
      <w:proofErr w:type="spellStart"/>
      <w:r w:rsidR="007F3A76" w:rsidRPr="00BF606A">
        <w:t>în</w:t>
      </w:r>
      <w:proofErr w:type="spellEnd"/>
      <w:r w:rsidR="007F3A76" w:rsidRPr="00BF606A">
        <w:t xml:space="preserve"> </w:t>
      </w:r>
      <w:proofErr w:type="spellStart"/>
      <w:r w:rsidR="007F3A76" w:rsidRPr="00BF606A">
        <w:t>domeniul</w:t>
      </w:r>
      <w:proofErr w:type="spellEnd"/>
      <w:r w:rsidR="007F3A76" w:rsidRPr="00BF606A">
        <w:t xml:space="preserve"> </w:t>
      </w:r>
      <w:proofErr w:type="spellStart"/>
      <w:r w:rsidR="007F3A76" w:rsidRPr="00BF606A">
        <w:t>protecţiei</w:t>
      </w:r>
      <w:proofErr w:type="spellEnd"/>
      <w:r w:rsidR="007F3A76" w:rsidRPr="00BF606A">
        <w:t xml:space="preserve"> </w:t>
      </w:r>
      <w:proofErr w:type="spellStart"/>
      <w:r w:rsidR="007F3A76" w:rsidRPr="00BF606A">
        <w:t>consumatorilor</w:t>
      </w:r>
      <w:proofErr w:type="spellEnd"/>
      <w:r w:rsidR="007F3A76" w:rsidRPr="00BF606A">
        <w:t xml:space="preserve"> </w:t>
      </w:r>
      <w:proofErr w:type="spellStart"/>
      <w:r w:rsidR="007F3A76" w:rsidRPr="00BF606A">
        <w:t>pe</w:t>
      </w:r>
      <w:proofErr w:type="spellEnd"/>
      <w:r w:rsidR="007F3A76" w:rsidRPr="00BF606A">
        <w:t xml:space="preserve"> </w:t>
      </w:r>
      <w:proofErr w:type="spellStart"/>
      <w:r w:rsidR="007F3A76" w:rsidRPr="00BF606A">
        <w:t>parcursul</w:t>
      </w:r>
      <w:proofErr w:type="spellEnd"/>
      <w:r w:rsidR="007F3A76" w:rsidRPr="00BF606A">
        <w:t xml:space="preserve"> </w:t>
      </w:r>
      <w:proofErr w:type="spellStart"/>
      <w:r w:rsidR="007F3A76" w:rsidRPr="00BF606A">
        <w:t>perioadei</w:t>
      </w:r>
      <w:proofErr w:type="spellEnd"/>
      <w:r w:rsidR="007F3A76" w:rsidRPr="00BF606A">
        <w:t xml:space="preserve"> 2016 - 2019. De </w:t>
      </w:r>
      <w:proofErr w:type="spellStart"/>
      <w:r w:rsidR="007F3A76" w:rsidRPr="00BF606A">
        <w:t>asemenea</w:t>
      </w:r>
      <w:proofErr w:type="spellEnd"/>
      <w:r w:rsidR="007F3A76" w:rsidRPr="00BF606A">
        <w:t xml:space="preserve"> </w:t>
      </w:r>
      <w:proofErr w:type="spellStart"/>
      <w:r w:rsidR="007F3A76" w:rsidRPr="00BF606A">
        <w:t>în</w:t>
      </w:r>
      <w:proofErr w:type="spellEnd"/>
      <w:r w:rsidR="007F3A76" w:rsidRPr="00BF606A">
        <w:t xml:space="preserve"> </w:t>
      </w:r>
      <w:proofErr w:type="spellStart"/>
      <w:r w:rsidR="007F3A76" w:rsidRPr="00BF606A">
        <w:t>cadrul</w:t>
      </w:r>
      <w:proofErr w:type="spellEnd"/>
      <w:r w:rsidR="007F3A76" w:rsidRPr="00BF606A">
        <w:t xml:space="preserve"> </w:t>
      </w:r>
      <w:proofErr w:type="spellStart"/>
      <w:r w:rsidR="007F3A76" w:rsidRPr="00BF606A">
        <w:t>ședinței</w:t>
      </w:r>
      <w:proofErr w:type="spellEnd"/>
      <w:r w:rsidR="007F3A76" w:rsidRPr="00BF606A">
        <w:t xml:space="preserve"> a </w:t>
      </w:r>
      <w:proofErr w:type="spellStart"/>
      <w:r w:rsidR="007F3A76" w:rsidRPr="00BF606A">
        <w:t>fost</w:t>
      </w:r>
      <w:proofErr w:type="spellEnd"/>
      <w:r w:rsidR="007F3A76" w:rsidRPr="00BF606A">
        <w:t xml:space="preserve"> </w:t>
      </w:r>
      <w:proofErr w:type="spellStart"/>
      <w:r w:rsidR="007F3A76" w:rsidRPr="00BF606A">
        <w:t>marcată</w:t>
      </w:r>
      <w:proofErr w:type="spellEnd"/>
      <w:r w:rsidR="007F3A76" w:rsidRPr="00BF606A">
        <w:t xml:space="preserve"> </w:t>
      </w:r>
      <w:proofErr w:type="spellStart"/>
      <w:r w:rsidR="007F3A76" w:rsidRPr="00BF606A">
        <w:t>activitatea</w:t>
      </w:r>
      <w:proofErr w:type="spellEnd"/>
      <w:r w:rsidR="007F3A76" w:rsidRPr="00BF606A">
        <w:t xml:space="preserve"> </w:t>
      </w:r>
      <w:proofErr w:type="spellStart"/>
      <w:r w:rsidR="007F3A76" w:rsidRPr="00BF606A">
        <w:t>consecventă</w:t>
      </w:r>
      <w:proofErr w:type="spellEnd"/>
      <w:r w:rsidR="007F3A76" w:rsidRPr="00BF606A">
        <w:t xml:space="preserve"> a </w:t>
      </w:r>
      <w:proofErr w:type="spellStart"/>
      <w:r w:rsidR="007F3A76" w:rsidRPr="00BF606A">
        <w:t>Republicii</w:t>
      </w:r>
      <w:proofErr w:type="spellEnd"/>
      <w:r w:rsidR="007F3A76" w:rsidRPr="00BF606A">
        <w:t xml:space="preserve"> Moldova </w:t>
      </w:r>
      <w:proofErr w:type="spellStart"/>
      <w:r w:rsidR="007F3A76" w:rsidRPr="00BF606A">
        <w:t>în</w:t>
      </w:r>
      <w:proofErr w:type="spellEnd"/>
      <w:r w:rsidR="007F3A76" w:rsidRPr="00BF606A">
        <w:t xml:space="preserve"> </w:t>
      </w:r>
      <w:proofErr w:type="spellStart"/>
      <w:r w:rsidR="007F3A76" w:rsidRPr="00BF606A">
        <w:t>dezvoltarea</w:t>
      </w:r>
      <w:proofErr w:type="spellEnd"/>
      <w:r w:rsidR="007F3A76" w:rsidRPr="00BF606A">
        <w:t xml:space="preserve"> </w:t>
      </w:r>
      <w:proofErr w:type="spellStart"/>
      <w:r w:rsidR="007F3A76" w:rsidRPr="00BF606A">
        <w:t>cadrului</w:t>
      </w:r>
      <w:proofErr w:type="spellEnd"/>
      <w:r w:rsidR="007F3A76" w:rsidRPr="00BF606A">
        <w:t xml:space="preserve"> legal </w:t>
      </w:r>
      <w:proofErr w:type="spellStart"/>
      <w:r w:rsidR="007F3A76" w:rsidRPr="00BF606A">
        <w:t>și</w:t>
      </w:r>
      <w:proofErr w:type="spellEnd"/>
      <w:r w:rsidR="007F3A76" w:rsidRPr="00BF606A">
        <w:t xml:space="preserve"> </w:t>
      </w:r>
      <w:proofErr w:type="spellStart"/>
      <w:r w:rsidR="007F3A76" w:rsidRPr="00BF606A">
        <w:t>normativ</w:t>
      </w:r>
      <w:proofErr w:type="spellEnd"/>
      <w:r w:rsidR="007F3A76" w:rsidRPr="00BF606A">
        <w:t xml:space="preserve"> care </w:t>
      </w:r>
      <w:proofErr w:type="spellStart"/>
      <w:r w:rsidR="007F3A76" w:rsidRPr="00BF606A">
        <w:t>asigură</w:t>
      </w:r>
      <w:proofErr w:type="spellEnd"/>
      <w:r w:rsidR="007F3A76" w:rsidRPr="00BF606A">
        <w:t xml:space="preserve"> </w:t>
      </w:r>
      <w:proofErr w:type="spellStart"/>
      <w:r w:rsidR="007F3A76" w:rsidRPr="00BF606A">
        <w:t>punerea</w:t>
      </w:r>
      <w:proofErr w:type="spellEnd"/>
      <w:r w:rsidR="007F3A76" w:rsidRPr="00BF606A">
        <w:t xml:space="preserve"> la </w:t>
      </w:r>
      <w:proofErr w:type="spellStart"/>
      <w:r w:rsidR="007F3A76" w:rsidRPr="00BF606A">
        <w:t>dispoziție</w:t>
      </w:r>
      <w:proofErr w:type="spellEnd"/>
      <w:r w:rsidR="007F3A76" w:rsidRPr="00BF606A">
        <w:t xml:space="preserve"> </w:t>
      </w:r>
      <w:proofErr w:type="spellStart"/>
      <w:r w:rsidR="007F3A76" w:rsidRPr="00BF606A">
        <w:t>pe</w:t>
      </w:r>
      <w:proofErr w:type="spellEnd"/>
      <w:r w:rsidR="007F3A76" w:rsidRPr="00BF606A">
        <w:t xml:space="preserve"> </w:t>
      </w:r>
      <w:proofErr w:type="spellStart"/>
      <w:r w:rsidR="007F3A76" w:rsidRPr="00BF606A">
        <w:t>piață</w:t>
      </w:r>
      <w:proofErr w:type="spellEnd"/>
      <w:r w:rsidR="007F3A76" w:rsidRPr="00BF606A">
        <w:t xml:space="preserve"> </w:t>
      </w:r>
      <w:proofErr w:type="spellStart"/>
      <w:r w:rsidR="007F3A76" w:rsidRPr="00BF606A">
        <w:t>doar</w:t>
      </w:r>
      <w:proofErr w:type="spellEnd"/>
      <w:r w:rsidR="007F3A76" w:rsidRPr="00BF606A">
        <w:t xml:space="preserve"> a </w:t>
      </w:r>
      <w:proofErr w:type="spellStart"/>
      <w:r w:rsidR="007F3A76" w:rsidRPr="00BF606A">
        <w:t>produselor</w:t>
      </w:r>
      <w:proofErr w:type="spellEnd"/>
      <w:r w:rsidR="007F3A76" w:rsidRPr="00BF606A">
        <w:t xml:space="preserve"> </w:t>
      </w:r>
      <w:proofErr w:type="spellStart"/>
      <w:r w:rsidR="007F3A76" w:rsidRPr="00BF606A">
        <w:t>sigure</w:t>
      </w:r>
      <w:proofErr w:type="spellEnd"/>
      <w:r w:rsidR="007F3A76" w:rsidRPr="00BF606A">
        <w:t xml:space="preserve"> </w:t>
      </w:r>
      <w:proofErr w:type="spellStart"/>
      <w:r w:rsidR="007F3A76" w:rsidRPr="00BF606A">
        <w:t>pentru</w:t>
      </w:r>
      <w:proofErr w:type="spellEnd"/>
      <w:r w:rsidR="007F3A76" w:rsidRPr="00BF606A">
        <w:t xml:space="preserve"> </w:t>
      </w:r>
      <w:proofErr w:type="spellStart"/>
      <w:r w:rsidR="007F3A76" w:rsidRPr="00BF606A">
        <w:t>consumatori</w:t>
      </w:r>
      <w:proofErr w:type="spellEnd"/>
      <w:r w:rsidR="007F3A76" w:rsidRPr="00BF606A">
        <w:t xml:space="preserve">, </w:t>
      </w:r>
      <w:proofErr w:type="spellStart"/>
      <w:r w:rsidR="007F3A76" w:rsidRPr="00BF606A">
        <w:t>precum</w:t>
      </w:r>
      <w:proofErr w:type="spellEnd"/>
      <w:r w:rsidR="007F3A76" w:rsidRPr="00BF606A">
        <w:t xml:space="preserve"> </w:t>
      </w:r>
      <w:proofErr w:type="spellStart"/>
      <w:r w:rsidR="007F3A76" w:rsidRPr="00BF606A">
        <w:t>și</w:t>
      </w:r>
      <w:proofErr w:type="spellEnd"/>
      <w:r w:rsidR="007F3A76" w:rsidRPr="00BF606A">
        <w:t xml:space="preserve"> a </w:t>
      </w:r>
      <w:proofErr w:type="spellStart"/>
      <w:r w:rsidR="007F3A76" w:rsidRPr="00BF606A">
        <w:t>produselor</w:t>
      </w:r>
      <w:proofErr w:type="spellEnd"/>
      <w:r w:rsidR="007F3A76" w:rsidRPr="00BF606A">
        <w:t xml:space="preserve"> care sunt </w:t>
      </w:r>
      <w:proofErr w:type="spellStart"/>
      <w:r w:rsidR="007F3A76" w:rsidRPr="00BF606A">
        <w:t>conforme</w:t>
      </w:r>
      <w:proofErr w:type="spellEnd"/>
      <w:r w:rsidR="007F3A76" w:rsidRPr="00BF606A">
        <w:t xml:space="preserve"> cu </w:t>
      </w:r>
      <w:proofErr w:type="spellStart"/>
      <w:r w:rsidR="007F3A76" w:rsidRPr="00BF606A">
        <w:t>cerințele</w:t>
      </w:r>
      <w:proofErr w:type="spellEnd"/>
      <w:r w:rsidR="007F3A76" w:rsidRPr="00BF606A">
        <w:t xml:space="preserve"> </w:t>
      </w:r>
      <w:proofErr w:type="spellStart"/>
      <w:r w:rsidR="007F3A76" w:rsidRPr="00BF606A">
        <w:t>esențiale</w:t>
      </w:r>
      <w:proofErr w:type="spellEnd"/>
      <w:r w:rsidR="007F3A76" w:rsidRPr="00BF606A">
        <w:t xml:space="preserve"> </w:t>
      </w:r>
      <w:proofErr w:type="spellStart"/>
      <w:r w:rsidR="007F3A76" w:rsidRPr="00BF606A">
        <w:t>stabilite</w:t>
      </w:r>
      <w:proofErr w:type="spellEnd"/>
      <w:r w:rsidR="007F3A76" w:rsidRPr="00BF606A">
        <w:t xml:space="preserve"> </w:t>
      </w:r>
      <w:proofErr w:type="spellStart"/>
      <w:r w:rsidR="007F3A76" w:rsidRPr="00BF606A">
        <w:t>în</w:t>
      </w:r>
      <w:proofErr w:type="spellEnd"/>
      <w:r w:rsidR="007F3A76" w:rsidRPr="00BF606A">
        <w:t xml:space="preserve"> </w:t>
      </w:r>
      <w:proofErr w:type="spellStart"/>
      <w:r w:rsidR="007F3A76" w:rsidRPr="00BF606A">
        <w:t>reglementările</w:t>
      </w:r>
      <w:proofErr w:type="spellEnd"/>
      <w:r w:rsidR="007F3A76" w:rsidRPr="00BF606A">
        <w:t xml:space="preserve"> </w:t>
      </w:r>
      <w:proofErr w:type="spellStart"/>
      <w:r w:rsidR="007F3A76" w:rsidRPr="00BF606A">
        <w:t>tehnice</w:t>
      </w:r>
      <w:proofErr w:type="spellEnd"/>
      <w:r w:rsidR="007F3A76" w:rsidRPr="00BF606A">
        <w:t>.</w:t>
      </w:r>
    </w:p>
    <w:p w:rsidR="007F3A76" w:rsidRPr="00866277" w:rsidRDefault="007F3A76" w:rsidP="000444C0">
      <w:pPr>
        <w:ind w:firstLine="720"/>
        <w:jc w:val="both"/>
        <w:rPr>
          <w:lang w:val="ro-RO"/>
        </w:rPr>
      </w:pPr>
    </w:p>
    <w:p w:rsidR="001F17E9" w:rsidRPr="00B51CF8" w:rsidRDefault="001F17E9" w:rsidP="009241CA">
      <w:pPr>
        <w:widowControl w:val="0"/>
        <w:autoSpaceDE w:val="0"/>
        <w:autoSpaceDN w:val="0"/>
        <w:adjustRightInd w:val="0"/>
        <w:ind w:firstLine="720"/>
        <w:jc w:val="both"/>
        <w:rPr>
          <w:b/>
          <w:lang w:val="ro-RO"/>
        </w:rPr>
      </w:pPr>
      <w:r w:rsidRPr="00B51CF8">
        <w:rPr>
          <w:b/>
          <w:lang w:val="ro-RO"/>
        </w:rPr>
        <w:t>5.2 Cooperarea transfrontalieră în domeniul protecției consumatorilor cu autoritățile naționale ale statelor-membre ale Uniunii Europene.</w:t>
      </w:r>
    </w:p>
    <w:p w:rsidR="006A752C" w:rsidRPr="00866277" w:rsidRDefault="00D910E1" w:rsidP="00116BCD">
      <w:pPr>
        <w:pStyle w:val="Title"/>
        <w:tabs>
          <w:tab w:val="left" w:pos="-142"/>
          <w:tab w:val="right" w:pos="0"/>
          <w:tab w:val="left" w:pos="284"/>
        </w:tabs>
        <w:ind w:firstLine="720"/>
        <w:jc w:val="both"/>
        <w:rPr>
          <w:sz w:val="24"/>
          <w:szCs w:val="24"/>
        </w:rPr>
      </w:pPr>
      <w:r w:rsidRPr="00866277">
        <w:rPr>
          <w:sz w:val="24"/>
          <w:szCs w:val="24"/>
        </w:rPr>
        <w:t>Pe filiera c</w:t>
      </w:r>
      <w:r w:rsidRPr="00866277">
        <w:rPr>
          <w:sz w:val="24"/>
          <w:szCs w:val="24"/>
          <w:lang w:eastAsia="en-GB"/>
        </w:rPr>
        <w:t>ooper</w:t>
      </w:r>
      <w:r w:rsidRPr="00866277">
        <w:rPr>
          <w:sz w:val="24"/>
          <w:szCs w:val="24"/>
        </w:rPr>
        <w:t>ării</w:t>
      </w:r>
      <w:r w:rsidRPr="00866277">
        <w:rPr>
          <w:sz w:val="24"/>
          <w:szCs w:val="24"/>
          <w:lang w:eastAsia="en-GB"/>
        </w:rPr>
        <w:t xml:space="preserve"> transfrontalier</w:t>
      </w:r>
      <w:r w:rsidRPr="00866277">
        <w:rPr>
          <w:sz w:val="24"/>
          <w:szCs w:val="24"/>
        </w:rPr>
        <w:t xml:space="preserve">e </w:t>
      </w:r>
      <w:r w:rsidRPr="00866277">
        <w:rPr>
          <w:sz w:val="24"/>
          <w:szCs w:val="24"/>
          <w:lang w:eastAsia="en-GB"/>
        </w:rPr>
        <w:t>în domeniul protecției consumatorilor cu autoritățile naționale ale statelor-membre ale Uniunii Europene</w:t>
      </w:r>
      <w:r w:rsidRPr="00866277">
        <w:rPr>
          <w:sz w:val="24"/>
          <w:szCs w:val="24"/>
        </w:rPr>
        <w:t xml:space="preserve"> </w:t>
      </w:r>
      <w:r w:rsidR="00CA6F97" w:rsidRPr="00866277">
        <w:rPr>
          <w:sz w:val="24"/>
          <w:szCs w:val="24"/>
        </w:rPr>
        <w:t xml:space="preserve">și al statelor Parteneriatului Estic </w:t>
      </w:r>
      <w:r w:rsidRPr="00866277">
        <w:rPr>
          <w:sz w:val="24"/>
          <w:szCs w:val="24"/>
        </w:rPr>
        <w:t>(</w:t>
      </w:r>
      <w:r w:rsidRPr="00866277">
        <w:rPr>
          <w:b/>
          <w:sz w:val="24"/>
          <w:szCs w:val="24"/>
        </w:rPr>
        <w:t>pct.5.2</w:t>
      </w:r>
      <w:r w:rsidRPr="00866277">
        <w:rPr>
          <w:sz w:val="24"/>
          <w:szCs w:val="24"/>
        </w:rPr>
        <w:t>)</w:t>
      </w:r>
      <w:r w:rsidRPr="00866277">
        <w:rPr>
          <w:i/>
          <w:sz w:val="24"/>
          <w:szCs w:val="24"/>
        </w:rPr>
        <w:t xml:space="preserve"> </w:t>
      </w:r>
      <w:r w:rsidR="00CA6F97" w:rsidRPr="00866277">
        <w:rPr>
          <w:sz w:val="24"/>
          <w:szCs w:val="24"/>
        </w:rPr>
        <w:t xml:space="preserve">reprezentanții </w:t>
      </w:r>
      <w:r w:rsidRPr="00866277">
        <w:rPr>
          <w:sz w:val="24"/>
          <w:szCs w:val="24"/>
        </w:rPr>
        <w:t xml:space="preserve">APCSP </w:t>
      </w:r>
      <w:r w:rsidR="00CA6F97" w:rsidRPr="00866277">
        <w:rPr>
          <w:sz w:val="24"/>
          <w:szCs w:val="24"/>
        </w:rPr>
        <w:t xml:space="preserve">în vederea promovării schimbului de informații, privind supravegherea pieței, sistemele de protecție a consumatorilor, preluării celor mai bune practici în domeniul protecției consumatorilor, au </w:t>
      </w:r>
      <w:r w:rsidR="006A752C" w:rsidRPr="00866277">
        <w:rPr>
          <w:sz w:val="24"/>
          <w:szCs w:val="24"/>
        </w:rPr>
        <w:t>efectuat 11 vizite de lucru/stagii peste hotare:</w:t>
      </w:r>
    </w:p>
    <w:p w:rsidR="006A752C" w:rsidRPr="00866277" w:rsidRDefault="006A752C" w:rsidP="009241CA">
      <w:pPr>
        <w:pStyle w:val="ListParagraph"/>
        <w:tabs>
          <w:tab w:val="left" w:pos="317"/>
          <w:tab w:val="left" w:pos="567"/>
        </w:tabs>
        <w:spacing w:after="0" w:line="240" w:lineRule="auto"/>
        <w:ind w:left="0" w:firstLine="720"/>
        <w:contextualSpacing w:val="0"/>
        <w:jc w:val="both"/>
        <w:rPr>
          <w:rFonts w:ascii="Times New Roman" w:hAnsi="Times New Roman"/>
          <w:noProof/>
          <w:sz w:val="24"/>
          <w:szCs w:val="24"/>
          <w:lang w:val="ro-RO"/>
        </w:rPr>
      </w:pPr>
      <w:r w:rsidRPr="00866277">
        <w:rPr>
          <w:rFonts w:ascii="Times New Roman" w:hAnsi="Times New Roman"/>
          <w:sz w:val="24"/>
          <w:szCs w:val="24"/>
          <w:lang w:val="ro-RO"/>
        </w:rPr>
        <w:t>- v</w:t>
      </w:r>
      <w:r w:rsidRPr="00866277">
        <w:rPr>
          <w:rFonts w:ascii="Times New Roman" w:hAnsi="Times New Roman"/>
          <w:noProof/>
          <w:sz w:val="24"/>
          <w:szCs w:val="24"/>
          <w:lang w:val="ro-RO"/>
        </w:rPr>
        <w:t>izita de lucru în or. Minsc, Belarus - 3 persoane;</w:t>
      </w:r>
    </w:p>
    <w:p w:rsidR="006A752C" w:rsidRPr="00866277" w:rsidRDefault="006A752C" w:rsidP="009241CA">
      <w:pPr>
        <w:tabs>
          <w:tab w:val="left" w:pos="317"/>
          <w:tab w:val="left" w:pos="567"/>
        </w:tabs>
        <w:ind w:firstLine="720"/>
        <w:jc w:val="both"/>
        <w:rPr>
          <w:noProof/>
          <w:lang w:val="ro-RO"/>
        </w:rPr>
      </w:pPr>
      <w:r w:rsidRPr="00866277">
        <w:rPr>
          <w:noProof/>
          <w:lang w:val="ro-RO"/>
        </w:rPr>
        <w:t>- vizita de lucru la Organismul național al Jocurilor de Noroc din România și Biroul Român  de Metrologie Legală (BRML);</w:t>
      </w:r>
    </w:p>
    <w:p w:rsidR="006A752C" w:rsidRPr="00866277" w:rsidRDefault="006A752C" w:rsidP="009241CA">
      <w:pPr>
        <w:tabs>
          <w:tab w:val="left" w:pos="176"/>
          <w:tab w:val="left" w:pos="567"/>
        </w:tabs>
        <w:ind w:firstLine="720"/>
        <w:jc w:val="both"/>
        <w:rPr>
          <w:noProof/>
          <w:lang w:val="ro-RO"/>
        </w:rPr>
      </w:pPr>
      <w:r w:rsidRPr="00866277">
        <w:rPr>
          <w:noProof/>
          <w:lang w:val="ro-RO"/>
        </w:rPr>
        <w:t>- ședința Comitetului de coordonare în domeniul acreditării și supravegherii pieței, organizat  de către Institutul German de Metrologie PTB, în domeniul infrastructurii calității”, la    Tbilisi, Georgia;</w:t>
      </w:r>
    </w:p>
    <w:p w:rsidR="006A752C" w:rsidRPr="00866277" w:rsidRDefault="006A752C" w:rsidP="009241CA">
      <w:pPr>
        <w:tabs>
          <w:tab w:val="left" w:pos="317"/>
          <w:tab w:val="left" w:pos="567"/>
        </w:tabs>
        <w:ind w:firstLine="720"/>
        <w:jc w:val="both"/>
        <w:rPr>
          <w:noProof/>
          <w:lang w:val="ro-RO"/>
        </w:rPr>
      </w:pPr>
      <w:r w:rsidRPr="00866277">
        <w:rPr>
          <w:noProof/>
          <w:lang w:val="ro-RO"/>
        </w:rPr>
        <w:t>- vizita de lucru în cadrul Agenției Suedeze pentru Protecția Consumatorilor, or. Karlstad;</w:t>
      </w:r>
    </w:p>
    <w:p w:rsidR="006A752C" w:rsidRPr="00866277" w:rsidRDefault="006A752C" w:rsidP="009241CA">
      <w:pPr>
        <w:tabs>
          <w:tab w:val="left" w:pos="317"/>
          <w:tab w:val="left" w:pos="567"/>
          <w:tab w:val="left" w:pos="8114"/>
        </w:tabs>
        <w:ind w:firstLine="720"/>
        <w:jc w:val="both"/>
        <w:rPr>
          <w:noProof/>
          <w:lang w:val="ro-RO"/>
        </w:rPr>
      </w:pPr>
      <w:r w:rsidRPr="00866277">
        <w:rPr>
          <w:noProof/>
          <w:lang w:val="ro-RO"/>
        </w:rPr>
        <w:t>- vizita de studiu la invitația Fundaţiei Germane de Cooperare Juridică Internaţională (Berlin);</w:t>
      </w:r>
    </w:p>
    <w:p w:rsidR="006A752C" w:rsidRPr="00866277" w:rsidRDefault="006A752C" w:rsidP="009241CA">
      <w:pPr>
        <w:tabs>
          <w:tab w:val="left" w:pos="317"/>
          <w:tab w:val="left" w:pos="567"/>
        </w:tabs>
        <w:ind w:firstLine="720"/>
        <w:jc w:val="both"/>
        <w:rPr>
          <w:lang w:val="ro-RO"/>
        </w:rPr>
      </w:pPr>
      <w:r w:rsidRPr="00866277">
        <w:rPr>
          <w:lang w:val="ro-RO"/>
        </w:rPr>
        <w:t xml:space="preserve">- vizită de </w:t>
      </w:r>
      <w:proofErr w:type="spellStart"/>
      <w:r w:rsidRPr="00866277">
        <w:rPr>
          <w:lang w:val="ro-RO"/>
        </w:rPr>
        <w:t>lucru,„Biroul</w:t>
      </w:r>
      <w:proofErr w:type="spellEnd"/>
      <w:r w:rsidRPr="00866277">
        <w:rPr>
          <w:lang w:val="ro-RO"/>
        </w:rPr>
        <w:t xml:space="preserve"> de Metrologie </w:t>
      </w:r>
      <w:proofErr w:type="spellStart"/>
      <w:r w:rsidRPr="00866277">
        <w:rPr>
          <w:lang w:val="ro-RO"/>
        </w:rPr>
        <w:t>Certin</w:t>
      </w:r>
      <w:proofErr w:type="spellEnd"/>
      <w:r w:rsidRPr="00866277">
        <w:rPr>
          <w:lang w:val="ro-RO"/>
        </w:rPr>
        <w:t xml:space="preserve"> România - 1persoană;</w:t>
      </w:r>
    </w:p>
    <w:p w:rsidR="006A752C" w:rsidRPr="00866277" w:rsidRDefault="006A752C" w:rsidP="009241CA">
      <w:pPr>
        <w:tabs>
          <w:tab w:val="left" w:pos="317"/>
          <w:tab w:val="left" w:pos="567"/>
        </w:tabs>
        <w:ind w:firstLine="720"/>
        <w:jc w:val="both"/>
        <w:rPr>
          <w:noProof/>
          <w:lang w:val="ro-RO"/>
        </w:rPr>
      </w:pPr>
      <w:r w:rsidRPr="00866277">
        <w:rPr>
          <w:noProof/>
          <w:lang w:val="ro-RO"/>
        </w:rPr>
        <w:t xml:space="preserve"> - vizita de studiu privind supravegherea pieței cu tematica „Controale administrative în    supravegherea pieței în Letonia”,Centrul pentru Protecția Consumatorilor din Riga;</w:t>
      </w:r>
    </w:p>
    <w:p w:rsidR="006A752C" w:rsidRPr="00866277" w:rsidRDefault="006A752C" w:rsidP="009241CA">
      <w:pPr>
        <w:tabs>
          <w:tab w:val="left" w:pos="317"/>
          <w:tab w:val="left" w:pos="567"/>
        </w:tabs>
        <w:ind w:firstLine="720"/>
        <w:jc w:val="both"/>
        <w:rPr>
          <w:lang w:val="ro-RO"/>
        </w:rPr>
      </w:pPr>
      <w:r w:rsidRPr="00866277">
        <w:rPr>
          <w:lang w:val="ro-RO"/>
        </w:rPr>
        <w:t xml:space="preserve">- vizita de lucru la </w:t>
      </w:r>
      <w:r w:rsidRPr="00866277">
        <w:rPr>
          <w:bCs/>
          <w:lang w:val="ro-RO"/>
        </w:rPr>
        <w:t>Biroul Pentru Protecția Concurenței și Consumatorilor și Biroul Central de Măsurări din Polonia</w:t>
      </w:r>
      <w:r w:rsidRPr="00866277">
        <w:rPr>
          <w:lang w:val="ro-RO"/>
        </w:rPr>
        <w:t>;</w:t>
      </w:r>
    </w:p>
    <w:p w:rsidR="006A752C" w:rsidRPr="00866277" w:rsidRDefault="006A752C" w:rsidP="009241CA">
      <w:pPr>
        <w:tabs>
          <w:tab w:val="left" w:pos="317"/>
          <w:tab w:val="left" w:pos="567"/>
        </w:tabs>
        <w:ind w:firstLine="720"/>
        <w:jc w:val="both"/>
        <w:rPr>
          <w:lang w:val="ro-RO"/>
        </w:rPr>
      </w:pPr>
      <w:r w:rsidRPr="00866277">
        <w:rPr>
          <w:lang w:val="ro-RO"/>
        </w:rPr>
        <w:t>- participarea la Evenimentul „</w:t>
      </w:r>
      <w:proofErr w:type="spellStart"/>
      <w:r w:rsidRPr="00866277">
        <w:rPr>
          <w:lang w:val="ro-RO"/>
        </w:rPr>
        <w:t>Exploratory</w:t>
      </w:r>
      <w:proofErr w:type="spellEnd"/>
      <w:r w:rsidRPr="00866277">
        <w:rPr>
          <w:lang w:val="ro-RO"/>
        </w:rPr>
        <w:t xml:space="preserve"> </w:t>
      </w:r>
      <w:proofErr w:type="spellStart"/>
      <w:r w:rsidRPr="00866277">
        <w:rPr>
          <w:lang w:val="ro-RO"/>
        </w:rPr>
        <w:t>talks</w:t>
      </w:r>
      <w:proofErr w:type="spellEnd"/>
      <w:r w:rsidRPr="00866277">
        <w:rPr>
          <w:lang w:val="ro-RO"/>
        </w:rPr>
        <w:t xml:space="preserve"> </w:t>
      </w:r>
      <w:proofErr w:type="spellStart"/>
      <w:r w:rsidRPr="00866277">
        <w:rPr>
          <w:lang w:val="ro-RO"/>
        </w:rPr>
        <w:t>meeting</w:t>
      </w:r>
      <w:proofErr w:type="spellEnd"/>
      <w:r w:rsidRPr="00866277">
        <w:rPr>
          <w:lang w:val="ro-RO"/>
        </w:rPr>
        <w:t xml:space="preserve"> on market </w:t>
      </w:r>
      <w:proofErr w:type="spellStart"/>
      <w:r w:rsidRPr="00866277">
        <w:rPr>
          <w:lang w:val="ro-RO"/>
        </w:rPr>
        <w:t>survellance</w:t>
      </w:r>
      <w:proofErr w:type="spellEnd"/>
      <w:r w:rsidRPr="00866277">
        <w:rPr>
          <w:lang w:val="ro-RO"/>
        </w:rPr>
        <w:t xml:space="preserve"> quality    </w:t>
      </w:r>
      <w:proofErr w:type="spellStart"/>
      <w:r w:rsidRPr="00866277">
        <w:rPr>
          <w:lang w:val="ro-RO"/>
        </w:rPr>
        <w:t>infrastructure</w:t>
      </w:r>
      <w:proofErr w:type="spellEnd"/>
      <w:r w:rsidRPr="00866277">
        <w:rPr>
          <w:lang w:val="ro-RO"/>
        </w:rPr>
        <w:t>” or. Tirana, Albania;</w:t>
      </w:r>
    </w:p>
    <w:p w:rsidR="006A752C" w:rsidRPr="00866277" w:rsidRDefault="006A752C" w:rsidP="009241CA">
      <w:pPr>
        <w:tabs>
          <w:tab w:val="left" w:pos="317"/>
          <w:tab w:val="left" w:pos="567"/>
        </w:tabs>
        <w:ind w:firstLine="720"/>
        <w:jc w:val="both"/>
        <w:rPr>
          <w:lang w:val="ro-RO"/>
        </w:rPr>
      </w:pPr>
      <w:r w:rsidRPr="00866277">
        <w:rPr>
          <w:b/>
          <w:lang w:val="ro-RO"/>
        </w:rPr>
        <w:t xml:space="preserve">- </w:t>
      </w:r>
      <w:r w:rsidRPr="00866277">
        <w:rPr>
          <w:lang w:val="ro-RO"/>
        </w:rPr>
        <w:t xml:space="preserve">participarea la ”Instruire privind evaluarea riscurilor pentru nevoile de supraveghere a    pieței”, </w:t>
      </w:r>
      <w:proofErr w:type="spellStart"/>
      <w:r w:rsidRPr="00866277">
        <w:rPr>
          <w:lang w:val="ro-RO"/>
        </w:rPr>
        <w:t>or.Kiev</w:t>
      </w:r>
      <w:proofErr w:type="spellEnd"/>
      <w:r w:rsidRPr="00866277">
        <w:rPr>
          <w:lang w:val="ro-RO"/>
        </w:rPr>
        <w:t>, Ucraina;</w:t>
      </w:r>
    </w:p>
    <w:p w:rsidR="006A752C" w:rsidRPr="00866277" w:rsidRDefault="006A752C" w:rsidP="009241CA">
      <w:pPr>
        <w:tabs>
          <w:tab w:val="left" w:pos="317"/>
          <w:tab w:val="left" w:pos="567"/>
        </w:tabs>
        <w:ind w:firstLine="720"/>
        <w:jc w:val="both"/>
        <w:rPr>
          <w:lang w:val="ro-RO"/>
        </w:rPr>
      </w:pPr>
      <w:r w:rsidRPr="00866277">
        <w:rPr>
          <w:lang w:val="ro-RO"/>
        </w:rPr>
        <w:t xml:space="preserve">- </w:t>
      </w:r>
      <w:r w:rsidRPr="00866277">
        <w:rPr>
          <w:shd w:val="clear" w:color="auto" w:fill="FFFFFF"/>
          <w:lang w:val="ro-RO"/>
        </w:rPr>
        <w:t>„</w:t>
      </w:r>
      <w:r w:rsidRPr="00116BCD">
        <w:rPr>
          <w:rStyle w:val="Emphasis"/>
          <w:bCs/>
          <w:i w:val="0"/>
          <w:bdr w:val="none" w:sz="0" w:space="0" w:color="auto" w:frame="1"/>
          <w:shd w:val="clear" w:color="auto" w:fill="FFFFFF"/>
          <w:lang w:val="ro-RO"/>
        </w:rPr>
        <w:t>Instituirea și managementul comerțului liber</w:t>
      </w:r>
      <w:r w:rsidRPr="00866277">
        <w:rPr>
          <w:shd w:val="clear" w:color="auto" w:fill="FFFFFF"/>
          <w:lang w:val="ro-RO"/>
        </w:rPr>
        <w:t>”,  China</w:t>
      </w:r>
      <w:r w:rsidRPr="00866277">
        <w:rPr>
          <w:lang w:val="ro-RO"/>
        </w:rPr>
        <w:t>.</w:t>
      </w:r>
    </w:p>
    <w:p w:rsidR="006A752C" w:rsidRPr="00866277" w:rsidRDefault="00116BCD" w:rsidP="009241CA">
      <w:pPr>
        <w:pStyle w:val="Title"/>
        <w:tabs>
          <w:tab w:val="left" w:pos="-142"/>
          <w:tab w:val="right" w:pos="0"/>
          <w:tab w:val="left" w:pos="284"/>
        </w:tabs>
        <w:ind w:firstLine="720"/>
        <w:jc w:val="both"/>
        <w:rPr>
          <w:sz w:val="24"/>
          <w:szCs w:val="24"/>
        </w:rPr>
      </w:pPr>
      <w:r>
        <w:rPr>
          <w:noProof/>
          <w:sz w:val="24"/>
          <w:szCs w:val="24"/>
        </w:rPr>
        <w:t>În cadrul vizitelor/studiilor</w:t>
      </w:r>
      <w:r w:rsidR="006A752C" w:rsidRPr="00866277">
        <w:rPr>
          <w:noProof/>
          <w:sz w:val="24"/>
          <w:szCs w:val="24"/>
        </w:rPr>
        <w:t xml:space="preserve"> au participat 26 persoane.</w:t>
      </w:r>
    </w:p>
    <w:p w:rsidR="003B6B22" w:rsidRPr="00866277" w:rsidRDefault="003B6B22" w:rsidP="001F17E9">
      <w:pPr>
        <w:widowControl w:val="0"/>
        <w:autoSpaceDE w:val="0"/>
        <w:autoSpaceDN w:val="0"/>
        <w:adjustRightInd w:val="0"/>
        <w:jc w:val="center"/>
        <w:rPr>
          <w:b/>
          <w:lang w:val="ro-RO"/>
        </w:rPr>
      </w:pPr>
    </w:p>
    <w:p w:rsidR="00214EB0" w:rsidRPr="00866277" w:rsidRDefault="00214EB0">
      <w:pPr>
        <w:spacing w:after="160" w:line="259" w:lineRule="auto"/>
        <w:rPr>
          <w:b/>
          <w:lang w:val="ro-RO"/>
        </w:rPr>
      </w:pPr>
      <w:r w:rsidRPr="00866277">
        <w:rPr>
          <w:b/>
          <w:lang w:val="ro-RO"/>
        </w:rPr>
        <w:br w:type="page"/>
      </w:r>
    </w:p>
    <w:p w:rsidR="00D910E1" w:rsidRPr="00C5279B" w:rsidRDefault="00D910E1" w:rsidP="00E875E4">
      <w:pPr>
        <w:widowControl w:val="0"/>
        <w:autoSpaceDE w:val="0"/>
        <w:autoSpaceDN w:val="0"/>
        <w:adjustRightInd w:val="0"/>
        <w:spacing w:line="360" w:lineRule="auto"/>
        <w:jc w:val="center"/>
        <w:rPr>
          <w:b/>
          <w:lang w:val="ro-RO"/>
        </w:rPr>
      </w:pPr>
      <w:r w:rsidRPr="00C5279B">
        <w:rPr>
          <w:b/>
          <w:lang w:val="ro-RO"/>
        </w:rPr>
        <w:lastRenderedPageBreak/>
        <w:t xml:space="preserve">CONCLUZII </w:t>
      </w:r>
    </w:p>
    <w:p w:rsidR="00E875E4" w:rsidRPr="00C5279B" w:rsidRDefault="00E875E4" w:rsidP="00E875E4">
      <w:pPr>
        <w:widowControl w:val="0"/>
        <w:autoSpaceDE w:val="0"/>
        <w:autoSpaceDN w:val="0"/>
        <w:adjustRightInd w:val="0"/>
        <w:spacing w:line="360" w:lineRule="auto"/>
        <w:jc w:val="center"/>
        <w:rPr>
          <w:b/>
          <w:lang w:val="ro-RO"/>
        </w:rPr>
      </w:pPr>
    </w:p>
    <w:p w:rsidR="003D4472" w:rsidRPr="00C5279B" w:rsidRDefault="00FF1BDD" w:rsidP="00E875E4">
      <w:pPr>
        <w:pStyle w:val="tt"/>
        <w:spacing w:line="360" w:lineRule="auto"/>
        <w:ind w:firstLine="576"/>
        <w:jc w:val="both"/>
        <w:rPr>
          <w:b w:val="0"/>
          <w:lang w:val="ro-RO"/>
        </w:rPr>
      </w:pPr>
      <w:r w:rsidRPr="00C5279B">
        <w:rPr>
          <w:b w:val="0"/>
          <w:lang w:val="ro-RO"/>
        </w:rPr>
        <w:t>Ministerul Economiei</w:t>
      </w:r>
      <w:r w:rsidR="007F4681" w:rsidRPr="00C5279B">
        <w:rPr>
          <w:b w:val="0"/>
          <w:lang w:val="ro-RO"/>
        </w:rPr>
        <w:t xml:space="preserve"> și Infrastructurii</w:t>
      </w:r>
      <w:r w:rsidRPr="00C5279B">
        <w:rPr>
          <w:b w:val="0"/>
          <w:lang w:val="ro-RO"/>
        </w:rPr>
        <w:t xml:space="preserve">, </w:t>
      </w:r>
      <w:proofErr w:type="spellStart"/>
      <w:r w:rsidRPr="00C5279B">
        <w:rPr>
          <w:b w:val="0"/>
          <w:lang w:val="ro-RO"/>
        </w:rPr>
        <w:t>deţinînd</w:t>
      </w:r>
      <w:proofErr w:type="spellEnd"/>
      <w:r w:rsidRPr="00C5279B">
        <w:rPr>
          <w:b w:val="0"/>
          <w:lang w:val="ro-RO"/>
        </w:rPr>
        <w:t xml:space="preserve"> controlul executării Strategiei în domeniul </w:t>
      </w:r>
      <w:r w:rsidR="007F4681" w:rsidRPr="00C5279B">
        <w:rPr>
          <w:b w:val="0"/>
          <w:lang w:val="ro-RO"/>
        </w:rPr>
        <w:t>protecției</w:t>
      </w:r>
      <w:r w:rsidRPr="00C5279B">
        <w:rPr>
          <w:b w:val="0"/>
          <w:lang w:val="ro-RO"/>
        </w:rPr>
        <w:t xml:space="preserve"> consumatorilor pentru anii 2013-</w:t>
      </w:r>
      <w:smartTag w:uri="urn:schemas-microsoft-com:office:smarttags" w:element="metricconverter">
        <w:smartTagPr>
          <w:attr w:name="ProductID" w:val="2020, a"/>
        </w:smartTagPr>
        <w:r w:rsidRPr="00C5279B">
          <w:rPr>
            <w:b w:val="0"/>
            <w:lang w:val="ro-RO"/>
          </w:rPr>
          <w:t>2020, a</w:t>
        </w:r>
      </w:smartTag>
      <w:r w:rsidRPr="00C5279B">
        <w:rPr>
          <w:b w:val="0"/>
          <w:lang w:val="ro-RO"/>
        </w:rPr>
        <w:t xml:space="preserve"> totalizat </w:t>
      </w:r>
      <w:r w:rsidR="007F4681" w:rsidRPr="00C5279B">
        <w:rPr>
          <w:b w:val="0"/>
          <w:lang w:val="ro-RO"/>
        </w:rPr>
        <w:t>informația</w:t>
      </w:r>
      <w:r w:rsidRPr="00C5279B">
        <w:rPr>
          <w:b w:val="0"/>
          <w:lang w:val="ro-RO"/>
        </w:rPr>
        <w:t xml:space="preserve"> privind realizarea </w:t>
      </w:r>
      <w:r w:rsidR="007F4681" w:rsidRPr="00C5279B">
        <w:rPr>
          <w:b w:val="0"/>
          <w:lang w:val="ro-RO"/>
        </w:rPr>
        <w:t>acțiunilor</w:t>
      </w:r>
      <w:r w:rsidRPr="00C5279B">
        <w:rPr>
          <w:b w:val="0"/>
          <w:lang w:val="ro-RO"/>
        </w:rPr>
        <w:t xml:space="preserve"> stabilite </w:t>
      </w:r>
      <w:r w:rsidR="003D4472" w:rsidRPr="00C5279B">
        <w:rPr>
          <w:b w:val="0"/>
          <w:lang w:val="ro-RO"/>
        </w:rPr>
        <w:t>pentru anul 201</w:t>
      </w:r>
      <w:r w:rsidR="00527FC6" w:rsidRPr="00C5279B">
        <w:rPr>
          <w:b w:val="0"/>
          <w:lang w:val="ro-RO"/>
        </w:rPr>
        <w:t>9</w:t>
      </w:r>
      <w:r w:rsidR="00995048" w:rsidRPr="00C5279B">
        <w:rPr>
          <w:b w:val="0"/>
          <w:lang w:val="ro-RO"/>
        </w:rPr>
        <w:t>, și vine cu unele constatări pe margine raportului.</w:t>
      </w:r>
    </w:p>
    <w:p w:rsidR="00FF1BDD" w:rsidRPr="00C5279B" w:rsidRDefault="003D4472" w:rsidP="00E875E4">
      <w:pPr>
        <w:pStyle w:val="tt"/>
        <w:spacing w:line="360" w:lineRule="auto"/>
        <w:ind w:firstLine="576"/>
        <w:jc w:val="both"/>
        <w:rPr>
          <w:b w:val="0"/>
          <w:lang w:val="ro-RO"/>
        </w:rPr>
      </w:pPr>
      <w:r w:rsidRPr="00C5279B">
        <w:rPr>
          <w:lang w:val="ro-RO"/>
        </w:rPr>
        <w:t>1.</w:t>
      </w:r>
      <w:r w:rsidR="00FF1BDD" w:rsidRPr="00C5279B">
        <w:rPr>
          <w:b w:val="0"/>
          <w:lang w:val="ro-RO"/>
        </w:rPr>
        <w:t xml:space="preserve"> </w:t>
      </w:r>
      <w:r w:rsidRPr="00C5279B">
        <w:rPr>
          <w:b w:val="0"/>
          <w:lang w:val="ro-RO"/>
        </w:rPr>
        <w:t>P</w:t>
      </w:r>
      <w:r w:rsidR="00FF1BDD" w:rsidRPr="00C5279B">
        <w:rPr>
          <w:b w:val="0"/>
          <w:lang w:val="ro-RO"/>
        </w:rPr>
        <w:t xml:space="preserve">rocesul de realizare a </w:t>
      </w:r>
      <w:r w:rsidRPr="00C5279B">
        <w:rPr>
          <w:b w:val="0"/>
          <w:lang w:val="ro-RO"/>
        </w:rPr>
        <w:t>acțiunilor</w:t>
      </w:r>
      <w:r w:rsidR="00FF1BDD" w:rsidRPr="00C5279B">
        <w:rPr>
          <w:b w:val="0"/>
          <w:lang w:val="ro-RO"/>
        </w:rPr>
        <w:t xml:space="preserve"> în mare parte a demarat cu succes. </w:t>
      </w:r>
      <w:r w:rsidR="007F4681" w:rsidRPr="00C5279B">
        <w:rPr>
          <w:b w:val="0"/>
          <w:lang w:val="ro-RO"/>
        </w:rPr>
        <w:t xml:space="preserve">Unele acțiuni </w:t>
      </w:r>
      <w:r w:rsidR="00D4687B" w:rsidRPr="00C5279B">
        <w:rPr>
          <w:b w:val="0"/>
          <w:lang w:val="ro-RO"/>
        </w:rPr>
        <w:t>demarate în 2018</w:t>
      </w:r>
      <w:r w:rsidR="00527FC6" w:rsidRPr="00C5279B">
        <w:rPr>
          <w:b w:val="0"/>
          <w:lang w:val="ro-RO"/>
        </w:rPr>
        <w:t xml:space="preserve"> au continuat în 2019, altele </w:t>
      </w:r>
      <w:r w:rsidR="007F4681" w:rsidRPr="00C5279B">
        <w:rPr>
          <w:b w:val="0"/>
          <w:lang w:val="ro-RO"/>
        </w:rPr>
        <w:t xml:space="preserve">urmează a fi </w:t>
      </w:r>
      <w:r w:rsidR="007775B2" w:rsidRPr="00C5279B">
        <w:rPr>
          <w:b w:val="0"/>
          <w:lang w:val="ro-RO"/>
        </w:rPr>
        <w:t xml:space="preserve">continuate </w:t>
      </w:r>
      <w:r w:rsidR="007F4681" w:rsidRPr="00C5279B">
        <w:rPr>
          <w:b w:val="0"/>
          <w:lang w:val="ro-RO"/>
        </w:rPr>
        <w:t>în perioada următoare.</w:t>
      </w:r>
    </w:p>
    <w:p w:rsidR="00D558D6" w:rsidRPr="00C5279B" w:rsidRDefault="007F4681" w:rsidP="00E875E4">
      <w:pPr>
        <w:pStyle w:val="tt"/>
        <w:spacing w:line="360" w:lineRule="auto"/>
        <w:ind w:firstLine="576"/>
        <w:jc w:val="both"/>
        <w:rPr>
          <w:b w:val="0"/>
          <w:lang w:val="ro-RO"/>
        </w:rPr>
      </w:pPr>
      <w:r w:rsidRPr="00C5279B">
        <w:rPr>
          <w:lang w:val="ro-RO"/>
        </w:rPr>
        <w:t>2.</w:t>
      </w:r>
      <w:r w:rsidRPr="00C5279B">
        <w:rPr>
          <w:b w:val="0"/>
          <w:lang w:val="ro-RO"/>
        </w:rPr>
        <w:t xml:space="preserve"> </w:t>
      </w:r>
      <w:r w:rsidR="00D4687B" w:rsidRPr="00C5279B">
        <w:rPr>
          <w:b w:val="0"/>
          <w:lang w:val="ro-RO"/>
        </w:rPr>
        <w:t>Constatăm</w:t>
      </w:r>
      <w:r w:rsidR="00995048" w:rsidRPr="00C5279B">
        <w:rPr>
          <w:b w:val="0"/>
          <w:lang w:val="ro-RO"/>
        </w:rPr>
        <w:t>,</w:t>
      </w:r>
      <w:r w:rsidR="00D4687B" w:rsidRPr="00C5279B">
        <w:rPr>
          <w:b w:val="0"/>
          <w:lang w:val="ro-RO"/>
        </w:rPr>
        <w:t xml:space="preserve"> </w:t>
      </w:r>
      <w:r w:rsidR="007775B2" w:rsidRPr="00C5279B">
        <w:rPr>
          <w:b w:val="0"/>
          <w:lang w:val="ro-RO"/>
        </w:rPr>
        <w:t>reluarea acti</w:t>
      </w:r>
      <w:r w:rsidR="00D558D6" w:rsidRPr="00C5279B">
        <w:rPr>
          <w:b w:val="0"/>
          <w:lang w:val="ro-RO"/>
        </w:rPr>
        <w:t>vităților de control odată cu f</w:t>
      </w:r>
      <w:r w:rsidR="00D4687B" w:rsidRPr="00C5279B">
        <w:rPr>
          <w:b w:val="0"/>
          <w:lang w:val="ro-RO"/>
        </w:rPr>
        <w:t xml:space="preserve">inalizării reformei controlului de stat a activității de întreprinzător, în special a mecanismului de inițiere a controalelor de către organele de control. </w:t>
      </w:r>
    </w:p>
    <w:p w:rsidR="00D558D6" w:rsidRPr="00C5279B" w:rsidRDefault="00D4687B" w:rsidP="00E875E4">
      <w:pPr>
        <w:pStyle w:val="tt"/>
        <w:spacing w:line="360" w:lineRule="auto"/>
        <w:ind w:firstLine="576"/>
        <w:jc w:val="both"/>
        <w:rPr>
          <w:lang w:val="ro-RO"/>
        </w:rPr>
      </w:pPr>
      <w:r w:rsidRPr="00C5279B">
        <w:rPr>
          <w:lang w:val="ro-RO"/>
        </w:rPr>
        <w:t>3.</w:t>
      </w:r>
      <w:r w:rsidRPr="00C5279B">
        <w:rPr>
          <w:b w:val="0"/>
          <w:lang w:val="ro-RO"/>
        </w:rPr>
        <w:t xml:space="preserve"> </w:t>
      </w:r>
      <w:r w:rsidR="00995048" w:rsidRPr="00C5279B">
        <w:rPr>
          <w:b w:val="0"/>
          <w:lang w:val="ro-RO"/>
        </w:rPr>
        <w:t xml:space="preserve">Toate autoritățile în scopul informării, comunicării și educării a consumatorilor, </w:t>
      </w:r>
      <w:r w:rsidR="00B62BA5" w:rsidRPr="00C5279B">
        <w:rPr>
          <w:b w:val="0"/>
          <w:lang w:val="ro-RO"/>
        </w:rPr>
        <w:t xml:space="preserve">precum și a </w:t>
      </w:r>
      <w:r w:rsidR="00995048" w:rsidRPr="00C5279B">
        <w:rPr>
          <w:b w:val="0"/>
          <w:lang w:val="ro-RO"/>
        </w:rPr>
        <w:t xml:space="preserve">publicului larg, mediului de afaceri, asociațiilor patronale și cele obștești </w:t>
      </w:r>
      <w:r w:rsidR="00B62BA5" w:rsidRPr="00C5279B">
        <w:rPr>
          <w:b w:val="0"/>
          <w:lang w:val="ro-RO"/>
        </w:rPr>
        <w:t xml:space="preserve">utilizează o diversitate de </w:t>
      </w:r>
      <w:r w:rsidR="00995048" w:rsidRPr="00C5279B">
        <w:rPr>
          <w:b w:val="0"/>
          <w:lang w:val="ro-RO"/>
        </w:rPr>
        <w:t>instrumente</w:t>
      </w:r>
      <w:r w:rsidR="00B62BA5" w:rsidRPr="00C5279B">
        <w:rPr>
          <w:b w:val="0"/>
          <w:lang w:val="ro-RO"/>
        </w:rPr>
        <w:t xml:space="preserve"> în dependență de grupul țintă: pagina web a instituției</w:t>
      </w:r>
      <w:r w:rsidR="002073E4" w:rsidRPr="00C5279B">
        <w:rPr>
          <w:b w:val="0"/>
          <w:lang w:val="ro-RO"/>
        </w:rPr>
        <w:t xml:space="preserve"> (comunicate de presa, briefinguri, informații utile, întrebări - răspunsuri, ghiduri, etc.)</w:t>
      </w:r>
      <w:r w:rsidR="00B62BA5" w:rsidRPr="00C5279B">
        <w:rPr>
          <w:b w:val="0"/>
          <w:lang w:val="ro-RO"/>
        </w:rPr>
        <w:t>, mijloacele mass-media (TV, Radio, presa scrisă), linia fierbinte/verde, ghișeul unic, consultații directe în oficiu,</w:t>
      </w:r>
      <w:r w:rsidR="002073E4" w:rsidRPr="00C5279B">
        <w:rPr>
          <w:b w:val="0"/>
          <w:lang w:val="ro-RO"/>
        </w:rPr>
        <w:t xml:space="preserve"> campanii de informare, vizite de consultanță, mese rotunde, seminare, ziua ușilor deschise, </w:t>
      </w:r>
      <w:r w:rsidR="00D558D6" w:rsidRPr="00C5279B">
        <w:rPr>
          <w:b w:val="0"/>
          <w:lang w:val="ro-RO"/>
        </w:rPr>
        <w:t>marcarea zilelor internaționale</w:t>
      </w:r>
      <w:r w:rsidR="002073E4" w:rsidRPr="00C5279B">
        <w:rPr>
          <w:b w:val="0"/>
          <w:lang w:val="ro-RO"/>
        </w:rPr>
        <w:t>, etc</w:t>
      </w:r>
      <w:r w:rsidR="00D558D6" w:rsidRPr="00C5279B">
        <w:rPr>
          <w:b w:val="0"/>
          <w:lang w:val="ro-RO"/>
        </w:rPr>
        <w:t>.  De asemenea</w:t>
      </w:r>
      <w:r w:rsidR="007775B2" w:rsidRPr="00C5279B">
        <w:rPr>
          <w:b w:val="0"/>
          <w:lang w:val="ro-RO"/>
        </w:rPr>
        <w:t>,</w:t>
      </w:r>
      <w:r w:rsidR="00D558D6" w:rsidRPr="00C5279B">
        <w:rPr>
          <w:b w:val="0"/>
          <w:lang w:val="ro-RO"/>
        </w:rPr>
        <w:t xml:space="preserve"> s-au creat platforme de comunicare și prin intermediul aplicației </w:t>
      </w:r>
      <w:proofErr w:type="spellStart"/>
      <w:r w:rsidR="00D558D6" w:rsidRPr="00C5279B">
        <w:rPr>
          <w:b w:val="0"/>
          <w:lang w:val="ro-RO"/>
        </w:rPr>
        <w:t>Viber</w:t>
      </w:r>
      <w:proofErr w:type="spellEnd"/>
      <w:r w:rsidR="00D558D6" w:rsidRPr="00C5279B">
        <w:rPr>
          <w:b w:val="0"/>
          <w:lang w:val="ro-RO"/>
        </w:rPr>
        <w:t>.</w:t>
      </w:r>
    </w:p>
    <w:p w:rsidR="008E289E" w:rsidRPr="00C5279B" w:rsidRDefault="002073E4" w:rsidP="007775B2">
      <w:pPr>
        <w:pStyle w:val="tt"/>
        <w:spacing w:line="360" w:lineRule="auto"/>
        <w:ind w:firstLine="576"/>
        <w:jc w:val="both"/>
        <w:rPr>
          <w:i/>
          <w:lang w:val="ro-RO"/>
        </w:rPr>
      </w:pPr>
      <w:r w:rsidRPr="00C5279B">
        <w:rPr>
          <w:lang w:val="ro-RO"/>
        </w:rPr>
        <w:t>4.</w:t>
      </w:r>
      <w:r w:rsidRPr="00C5279B">
        <w:rPr>
          <w:b w:val="0"/>
          <w:lang w:val="ro-RO"/>
        </w:rPr>
        <w:t xml:space="preserve"> Remarcă</w:t>
      </w:r>
      <w:r w:rsidR="00243BBD" w:rsidRPr="00C5279B">
        <w:rPr>
          <w:b w:val="0"/>
          <w:lang w:val="ro-RO"/>
        </w:rPr>
        <w:t>m</w:t>
      </w:r>
      <w:r w:rsidRPr="00C5279B">
        <w:rPr>
          <w:b w:val="0"/>
          <w:lang w:val="ro-RO"/>
        </w:rPr>
        <w:t xml:space="preserve"> </w:t>
      </w:r>
      <w:r w:rsidR="00214EB0" w:rsidRPr="00C5279B">
        <w:rPr>
          <w:b w:val="0"/>
          <w:lang w:val="ro-RO"/>
        </w:rPr>
        <w:t xml:space="preserve">în continuare </w:t>
      </w:r>
      <w:r w:rsidRPr="00C5279B">
        <w:rPr>
          <w:b w:val="0"/>
          <w:lang w:val="ro-RO"/>
        </w:rPr>
        <w:t xml:space="preserve">o </w:t>
      </w:r>
      <w:r w:rsidR="00214EB0" w:rsidRPr="00C5279B">
        <w:rPr>
          <w:b w:val="0"/>
          <w:lang w:val="ro-RO"/>
        </w:rPr>
        <w:t xml:space="preserve">ușoară </w:t>
      </w:r>
      <w:r w:rsidRPr="00C5279B">
        <w:rPr>
          <w:b w:val="0"/>
          <w:lang w:val="ro-RO"/>
        </w:rPr>
        <w:t>tendință pozitivă a numărului de dosare privind apărarea drepturilor consumatorilor examinate în cadrul si</w:t>
      </w:r>
      <w:r w:rsidR="007775B2" w:rsidRPr="00C5279B">
        <w:rPr>
          <w:b w:val="0"/>
          <w:lang w:val="ro-RO"/>
        </w:rPr>
        <w:t>stemului judiciar.</w:t>
      </w:r>
    </w:p>
    <w:p w:rsidR="008E289E" w:rsidRPr="00866277" w:rsidRDefault="008E289E" w:rsidP="00D42225">
      <w:pPr>
        <w:jc w:val="right"/>
        <w:rPr>
          <w:i/>
          <w:sz w:val="18"/>
          <w:szCs w:val="18"/>
          <w:lang w:val="ro-RO"/>
        </w:rPr>
      </w:pPr>
    </w:p>
    <w:p w:rsidR="008E289E" w:rsidRPr="00866277" w:rsidRDefault="008E289E" w:rsidP="00D42225">
      <w:pPr>
        <w:jc w:val="right"/>
        <w:rPr>
          <w:i/>
          <w:sz w:val="18"/>
          <w:szCs w:val="18"/>
          <w:lang w:val="ro-RO"/>
        </w:rPr>
      </w:pPr>
    </w:p>
    <w:p w:rsidR="008E289E" w:rsidRPr="00866277" w:rsidRDefault="008E289E" w:rsidP="00D42225">
      <w:pPr>
        <w:jc w:val="right"/>
        <w:rPr>
          <w:i/>
          <w:sz w:val="18"/>
          <w:szCs w:val="18"/>
          <w:lang w:val="ro-RO"/>
        </w:rPr>
      </w:pPr>
    </w:p>
    <w:p w:rsidR="008E289E" w:rsidRPr="00866277" w:rsidRDefault="008E289E" w:rsidP="00D42225">
      <w:pPr>
        <w:jc w:val="right"/>
        <w:rPr>
          <w:i/>
          <w:sz w:val="18"/>
          <w:szCs w:val="18"/>
          <w:lang w:val="ro-RO"/>
        </w:rPr>
      </w:pPr>
    </w:p>
    <w:p w:rsidR="008E289E" w:rsidRPr="00866277" w:rsidRDefault="008E289E" w:rsidP="00D42225">
      <w:pPr>
        <w:jc w:val="right"/>
        <w:rPr>
          <w:i/>
          <w:sz w:val="18"/>
          <w:szCs w:val="18"/>
          <w:lang w:val="ro-RO"/>
        </w:rPr>
      </w:pPr>
    </w:p>
    <w:p w:rsidR="008E289E" w:rsidRPr="00866277" w:rsidRDefault="008E289E" w:rsidP="00D42225">
      <w:pPr>
        <w:jc w:val="right"/>
        <w:rPr>
          <w:i/>
          <w:sz w:val="18"/>
          <w:szCs w:val="18"/>
          <w:lang w:val="ro-RO"/>
        </w:rPr>
      </w:pPr>
    </w:p>
    <w:p w:rsidR="008E289E" w:rsidRPr="00866277" w:rsidRDefault="008E289E" w:rsidP="00D42225">
      <w:pPr>
        <w:jc w:val="right"/>
        <w:rPr>
          <w:i/>
          <w:sz w:val="18"/>
          <w:szCs w:val="18"/>
          <w:lang w:val="ro-RO"/>
        </w:rPr>
      </w:pPr>
    </w:p>
    <w:p w:rsidR="008E289E" w:rsidRPr="00866277" w:rsidRDefault="008E289E" w:rsidP="00D42225">
      <w:pPr>
        <w:jc w:val="right"/>
        <w:rPr>
          <w:i/>
          <w:sz w:val="18"/>
          <w:szCs w:val="18"/>
          <w:lang w:val="ro-RO"/>
        </w:rPr>
      </w:pPr>
    </w:p>
    <w:p w:rsidR="008E289E" w:rsidRPr="00866277" w:rsidRDefault="008E289E" w:rsidP="00D42225">
      <w:pPr>
        <w:jc w:val="right"/>
        <w:rPr>
          <w:i/>
          <w:sz w:val="18"/>
          <w:szCs w:val="18"/>
          <w:lang w:val="ro-RO"/>
        </w:rPr>
      </w:pPr>
    </w:p>
    <w:p w:rsidR="008E289E" w:rsidRPr="00866277" w:rsidRDefault="008E289E" w:rsidP="00D42225">
      <w:pPr>
        <w:jc w:val="right"/>
        <w:rPr>
          <w:i/>
          <w:sz w:val="18"/>
          <w:szCs w:val="18"/>
          <w:lang w:val="ro-RO"/>
        </w:rPr>
      </w:pPr>
    </w:p>
    <w:p w:rsidR="00D42225" w:rsidRPr="00866277" w:rsidRDefault="00D42225" w:rsidP="00D42225">
      <w:pPr>
        <w:jc w:val="both"/>
        <w:rPr>
          <w:i/>
          <w:sz w:val="18"/>
          <w:szCs w:val="18"/>
          <w:lang w:val="ro-RO"/>
        </w:rPr>
        <w:sectPr w:rsidR="00D42225" w:rsidRPr="00866277" w:rsidSect="00E875E4">
          <w:footerReference w:type="default" r:id="rId18"/>
          <w:pgSz w:w="11906" w:h="16838" w:code="9"/>
          <w:pgMar w:top="720" w:right="720" w:bottom="720" w:left="1440" w:header="706" w:footer="706" w:gutter="0"/>
          <w:pgNumType w:start="1"/>
          <w:cols w:space="708"/>
          <w:docGrid w:linePitch="360"/>
        </w:sectPr>
      </w:pPr>
    </w:p>
    <w:p w:rsidR="008E289E" w:rsidRPr="00866277" w:rsidRDefault="008E289E" w:rsidP="008E289E">
      <w:pPr>
        <w:jc w:val="right"/>
        <w:rPr>
          <w:rFonts w:eastAsia="Times New Roman"/>
          <w:i/>
          <w:sz w:val="18"/>
          <w:szCs w:val="18"/>
          <w:lang w:val="ro-RO"/>
        </w:rPr>
      </w:pPr>
      <w:r w:rsidRPr="00866277">
        <w:rPr>
          <w:i/>
          <w:sz w:val="18"/>
          <w:szCs w:val="18"/>
          <w:lang w:val="ro-RO"/>
        </w:rPr>
        <w:lastRenderedPageBreak/>
        <w:t>Anexa 1</w:t>
      </w:r>
    </w:p>
    <w:p w:rsidR="00D42225" w:rsidRPr="00866277" w:rsidRDefault="00D42225" w:rsidP="00D42225">
      <w:pPr>
        <w:jc w:val="both"/>
        <w:rPr>
          <w:i/>
          <w:sz w:val="18"/>
          <w:szCs w:val="18"/>
          <w:lang w:val="ro-RO"/>
        </w:rPr>
      </w:pPr>
    </w:p>
    <w:p w:rsidR="00D42225" w:rsidRPr="00866277" w:rsidRDefault="00D42225" w:rsidP="00D42225">
      <w:pPr>
        <w:jc w:val="both"/>
        <w:rPr>
          <w:i/>
          <w:sz w:val="18"/>
          <w:szCs w:val="18"/>
          <w:lang w:val="ro-RO"/>
        </w:rPr>
      </w:pPr>
    </w:p>
    <w:tbl>
      <w:tblPr>
        <w:tblW w:w="15732" w:type="dxa"/>
        <w:jc w:val="center"/>
        <w:tblLayout w:type="fixed"/>
        <w:tblLook w:val="04A0" w:firstRow="1" w:lastRow="0" w:firstColumn="1" w:lastColumn="0" w:noHBand="0" w:noVBand="1"/>
      </w:tblPr>
      <w:tblGrid>
        <w:gridCol w:w="1415"/>
        <w:gridCol w:w="852"/>
        <w:gridCol w:w="850"/>
        <w:gridCol w:w="705"/>
        <w:gridCol w:w="854"/>
        <w:gridCol w:w="709"/>
        <w:gridCol w:w="850"/>
        <w:gridCol w:w="706"/>
        <w:gridCol w:w="709"/>
        <w:gridCol w:w="1134"/>
        <w:gridCol w:w="853"/>
        <w:gridCol w:w="992"/>
        <w:gridCol w:w="848"/>
        <w:gridCol w:w="567"/>
        <w:gridCol w:w="709"/>
        <w:gridCol w:w="425"/>
        <w:gridCol w:w="145"/>
        <w:gridCol w:w="283"/>
        <w:gridCol w:w="564"/>
        <w:gridCol w:w="133"/>
        <w:gridCol w:w="236"/>
        <w:gridCol w:w="56"/>
        <w:gridCol w:w="180"/>
        <w:gridCol w:w="236"/>
        <w:gridCol w:w="721"/>
      </w:tblGrid>
      <w:tr w:rsidR="00D42225" w:rsidRPr="00866277" w:rsidTr="006902D5">
        <w:trPr>
          <w:gridAfter w:val="3"/>
          <w:wAfter w:w="1137" w:type="dxa"/>
          <w:trHeight w:val="240"/>
          <w:jc w:val="center"/>
        </w:trPr>
        <w:tc>
          <w:tcPr>
            <w:tcW w:w="13178" w:type="dxa"/>
            <w:gridSpan w:val="16"/>
            <w:noWrap/>
            <w:vAlign w:val="bottom"/>
          </w:tcPr>
          <w:p w:rsidR="008E289E" w:rsidRPr="00866277" w:rsidRDefault="008E289E" w:rsidP="00F3402A">
            <w:pPr>
              <w:spacing w:line="256" w:lineRule="auto"/>
              <w:jc w:val="center"/>
              <w:rPr>
                <w:b/>
                <w:bCs/>
                <w:lang w:val="ro-RO"/>
              </w:rPr>
            </w:pPr>
          </w:p>
          <w:p w:rsidR="00D42225" w:rsidRPr="00866277" w:rsidRDefault="00D42225" w:rsidP="00F3402A">
            <w:pPr>
              <w:spacing w:line="256" w:lineRule="auto"/>
              <w:jc w:val="center"/>
              <w:rPr>
                <w:b/>
                <w:bCs/>
                <w:lang w:val="ro-RO"/>
              </w:rPr>
            </w:pPr>
            <w:r w:rsidRPr="00866277">
              <w:rPr>
                <w:b/>
                <w:bCs/>
                <w:lang w:val="ro-RO"/>
              </w:rPr>
              <w:t>Raport despre examinarea litigiilor privind protecția consumatorilor pentru anul 2018</w:t>
            </w:r>
          </w:p>
          <w:p w:rsidR="00D42225" w:rsidRPr="00866277" w:rsidRDefault="00D42225">
            <w:pPr>
              <w:spacing w:line="256" w:lineRule="auto"/>
              <w:jc w:val="center"/>
              <w:rPr>
                <w:b/>
                <w:bCs/>
                <w:lang w:val="ro-RO"/>
              </w:rPr>
            </w:pPr>
          </w:p>
          <w:p w:rsidR="00D42225" w:rsidRPr="00866277" w:rsidRDefault="00D42225">
            <w:pPr>
              <w:spacing w:line="256" w:lineRule="auto"/>
              <w:ind w:firstLine="1594"/>
              <w:jc w:val="center"/>
              <w:rPr>
                <w:sz w:val="22"/>
                <w:szCs w:val="22"/>
                <w:lang w:val="ro-RO"/>
              </w:rPr>
            </w:pPr>
          </w:p>
        </w:tc>
        <w:tc>
          <w:tcPr>
            <w:tcW w:w="992" w:type="dxa"/>
            <w:gridSpan w:val="3"/>
            <w:noWrap/>
            <w:vAlign w:val="bottom"/>
            <w:hideMark/>
          </w:tcPr>
          <w:p w:rsidR="00D42225" w:rsidRPr="00866277" w:rsidRDefault="00D42225">
            <w:pPr>
              <w:rPr>
                <w:sz w:val="22"/>
                <w:szCs w:val="22"/>
                <w:lang w:val="ro-RO"/>
              </w:rPr>
            </w:pPr>
          </w:p>
        </w:tc>
        <w:tc>
          <w:tcPr>
            <w:tcW w:w="425" w:type="dxa"/>
            <w:gridSpan w:val="3"/>
            <w:noWrap/>
            <w:vAlign w:val="bottom"/>
            <w:hideMark/>
          </w:tcPr>
          <w:p w:rsidR="00D42225" w:rsidRPr="00866277" w:rsidRDefault="00D42225">
            <w:pPr>
              <w:spacing w:line="256" w:lineRule="auto"/>
              <w:rPr>
                <w:rFonts w:asciiTheme="minorHAnsi" w:eastAsiaTheme="minorHAnsi" w:hAnsiTheme="minorHAnsi" w:cstheme="minorBidi"/>
                <w:sz w:val="20"/>
                <w:szCs w:val="20"/>
                <w:lang w:val="ro-RO"/>
              </w:rPr>
            </w:pPr>
          </w:p>
        </w:tc>
      </w:tr>
      <w:tr w:rsidR="00D42225" w:rsidRPr="00866277" w:rsidTr="006902D5">
        <w:trPr>
          <w:trHeight w:val="300"/>
          <w:jc w:val="center"/>
        </w:trPr>
        <w:tc>
          <w:tcPr>
            <w:tcW w:w="10629" w:type="dxa"/>
            <w:gridSpan w:val="12"/>
            <w:noWrap/>
            <w:vAlign w:val="bottom"/>
            <w:hideMark/>
          </w:tcPr>
          <w:p w:rsidR="00D42225" w:rsidRPr="00866277" w:rsidRDefault="00D42225">
            <w:pPr>
              <w:rPr>
                <w:lang w:val="ro-RO"/>
              </w:rPr>
            </w:pPr>
          </w:p>
        </w:tc>
        <w:tc>
          <w:tcPr>
            <w:tcW w:w="2694" w:type="dxa"/>
            <w:gridSpan w:val="5"/>
            <w:noWrap/>
            <w:vAlign w:val="bottom"/>
            <w:hideMark/>
          </w:tcPr>
          <w:p w:rsidR="00D42225" w:rsidRPr="00866277" w:rsidRDefault="00D42225">
            <w:pPr>
              <w:spacing w:line="256" w:lineRule="auto"/>
              <w:rPr>
                <w:rFonts w:asciiTheme="minorHAnsi" w:eastAsiaTheme="minorHAnsi" w:hAnsiTheme="minorHAnsi" w:cstheme="minorBidi"/>
                <w:sz w:val="20"/>
                <w:szCs w:val="20"/>
                <w:lang w:val="ro-RO"/>
              </w:rPr>
            </w:pPr>
          </w:p>
        </w:tc>
        <w:tc>
          <w:tcPr>
            <w:tcW w:w="980" w:type="dxa"/>
            <w:gridSpan w:val="3"/>
            <w:noWrap/>
            <w:vAlign w:val="bottom"/>
            <w:hideMark/>
          </w:tcPr>
          <w:p w:rsidR="00D42225" w:rsidRPr="00866277" w:rsidRDefault="00D42225">
            <w:pPr>
              <w:spacing w:line="256" w:lineRule="auto"/>
              <w:rPr>
                <w:rFonts w:asciiTheme="minorHAnsi" w:eastAsiaTheme="minorHAnsi" w:hAnsiTheme="minorHAnsi" w:cstheme="minorBidi"/>
                <w:sz w:val="20"/>
                <w:szCs w:val="20"/>
                <w:lang w:val="ro-RO"/>
              </w:rPr>
            </w:pPr>
          </w:p>
        </w:tc>
        <w:tc>
          <w:tcPr>
            <w:tcW w:w="236" w:type="dxa"/>
            <w:noWrap/>
            <w:vAlign w:val="bottom"/>
            <w:hideMark/>
          </w:tcPr>
          <w:p w:rsidR="00D42225" w:rsidRPr="00866277" w:rsidRDefault="00D42225">
            <w:pPr>
              <w:spacing w:line="256" w:lineRule="auto"/>
              <w:rPr>
                <w:rFonts w:asciiTheme="minorHAnsi" w:eastAsiaTheme="minorHAnsi" w:hAnsiTheme="minorHAnsi" w:cstheme="minorBidi"/>
                <w:sz w:val="20"/>
                <w:szCs w:val="20"/>
                <w:lang w:val="ro-RO"/>
              </w:rPr>
            </w:pPr>
          </w:p>
        </w:tc>
        <w:tc>
          <w:tcPr>
            <w:tcW w:w="236" w:type="dxa"/>
            <w:gridSpan w:val="2"/>
            <w:noWrap/>
            <w:vAlign w:val="bottom"/>
            <w:hideMark/>
          </w:tcPr>
          <w:p w:rsidR="00D42225" w:rsidRPr="00866277" w:rsidRDefault="00D42225">
            <w:pPr>
              <w:spacing w:line="256" w:lineRule="auto"/>
              <w:rPr>
                <w:rFonts w:asciiTheme="minorHAnsi" w:eastAsiaTheme="minorHAnsi" w:hAnsiTheme="minorHAnsi" w:cstheme="minorBidi"/>
                <w:sz w:val="20"/>
                <w:szCs w:val="20"/>
                <w:lang w:val="ro-RO"/>
              </w:rPr>
            </w:pPr>
          </w:p>
        </w:tc>
        <w:tc>
          <w:tcPr>
            <w:tcW w:w="236" w:type="dxa"/>
            <w:noWrap/>
            <w:vAlign w:val="bottom"/>
            <w:hideMark/>
          </w:tcPr>
          <w:p w:rsidR="00D42225" w:rsidRPr="00866277" w:rsidRDefault="00D42225">
            <w:pPr>
              <w:spacing w:line="256" w:lineRule="auto"/>
              <w:rPr>
                <w:rFonts w:asciiTheme="minorHAnsi" w:eastAsiaTheme="minorHAnsi" w:hAnsiTheme="minorHAnsi" w:cstheme="minorBidi"/>
                <w:sz w:val="20"/>
                <w:szCs w:val="20"/>
                <w:lang w:val="ro-RO"/>
              </w:rPr>
            </w:pPr>
          </w:p>
        </w:tc>
        <w:tc>
          <w:tcPr>
            <w:tcW w:w="721" w:type="dxa"/>
            <w:noWrap/>
            <w:vAlign w:val="bottom"/>
            <w:hideMark/>
          </w:tcPr>
          <w:p w:rsidR="00D42225" w:rsidRPr="00866277" w:rsidRDefault="00D42225">
            <w:pPr>
              <w:spacing w:line="256" w:lineRule="auto"/>
              <w:rPr>
                <w:rFonts w:asciiTheme="minorHAnsi" w:eastAsiaTheme="minorHAnsi" w:hAnsiTheme="minorHAnsi" w:cstheme="minorBidi"/>
                <w:sz w:val="20"/>
                <w:szCs w:val="20"/>
                <w:lang w:val="ro-RO"/>
              </w:rPr>
            </w:pPr>
          </w:p>
        </w:tc>
      </w:tr>
      <w:tr w:rsidR="00D42225" w:rsidRPr="00866277" w:rsidTr="006902D5">
        <w:trPr>
          <w:trHeight w:val="48"/>
          <w:jc w:val="center"/>
        </w:trPr>
        <w:tc>
          <w:tcPr>
            <w:tcW w:w="1415" w:type="dxa"/>
            <w:vMerge w:val="restart"/>
            <w:tcBorders>
              <w:top w:val="single" w:sz="8" w:space="0" w:color="000000"/>
              <w:left w:val="single" w:sz="8" w:space="0" w:color="000000"/>
              <w:bottom w:val="single" w:sz="8" w:space="0" w:color="000000"/>
              <w:right w:val="single" w:sz="8" w:space="0" w:color="000000"/>
            </w:tcBorders>
            <w:hideMark/>
          </w:tcPr>
          <w:p w:rsidR="00D42225" w:rsidRPr="00866277" w:rsidRDefault="00D42225">
            <w:pPr>
              <w:spacing w:line="256" w:lineRule="auto"/>
              <w:rPr>
                <w:rFonts w:eastAsia="Times New Roman"/>
                <w:bCs/>
                <w:sz w:val="16"/>
                <w:szCs w:val="16"/>
                <w:lang w:val="ro-RO"/>
              </w:rPr>
            </w:pPr>
            <w:r w:rsidRPr="00866277">
              <w:rPr>
                <w:bCs/>
                <w:sz w:val="16"/>
                <w:szCs w:val="16"/>
                <w:lang w:val="ro-RO"/>
              </w:rPr>
              <w:t>categoriile dosarelor</w:t>
            </w:r>
          </w:p>
        </w:tc>
        <w:tc>
          <w:tcPr>
            <w:tcW w:w="852" w:type="dxa"/>
            <w:vMerge w:val="restart"/>
            <w:tcBorders>
              <w:top w:val="single" w:sz="8" w:space="0" w:color="000000"/>
              <w:left w:val="single" w:sz="8" w:space="0" w:color="000000"/>
              <w:bottom w:val="single" w:sz="8" w:space="0" w:color="000000"/>
              <w:right w:val="single" w:sz="8" w:space="0" w:color="000000"/>
            </w:tcBorders>
            <w:hideMark/>
          </w:tcPr>
          <w:p w:rsidR="00D42225" w:rsidRPr="00866277" w:rsidRDefault="00D42225">
            <w:pPr>
              <w:spacing w:line="256" w:lineRule="auto"/>
              <w:jc w:val="center"/>
              <w:rPr>
                <w:bCs/>
                <w:sz w:val="16"/>
                <w:szCs w:val="16"/>
                <w:lang w:val="ro-RO"/>
              </w:rPr>
            </w:pPr>
            <w:r w:rsidRPr="00866277">
              <w:rPr>
                <w:bCs/>
                <w:sz w:val="16"/>
                <w:szCs w:val="16"/>
                <w:lang w:val="ro-RO"/>
              </w:rPr>
              <w:t xml:space="preserve">restul de dosare neîncheiate  la începutul perioadei </w:t>
            </w:r>
          </w:p>
        </w:tc>
        <w:tc>
          <w:tcPr>
            <w:tcW w:w="850" w:type="dxa"/>
            <w:vMerge w:val="restart"/>
            <w:tcBorders>
              <w:top w:val="single" w:sz="8" w:space="0" w:color="000000"/>
              <w:left w:val="single" w:sz="8" w:space="0" w:color="000000"/>
              <w:bottom w:val="single" w:sz="8" w:space="0" w:color="000000"/>
              <w:right w:val="nil"/>
            </w:tcBorders>
            <w:hideMark/>
          </w:tcPr>
          <w:p w:rsidR="00D42225" w:rsidRPr="00866277" w:rsidRDefault="00D42225">
            <w:pPr>
              <w:spacing w:line="256" w:lineRule="auto"/>
              <w:jc w:val="center"/>
              <w:rPr>
                <w:bCs/>
                <w:sz w:val="16"/>
                <w:szCs w:val="16"/>
                <w:lang w:val="ro-RO"/>
              </w:rPr>
            </w:pPr>
            <w:r w:rsidRPr="00866277">
              <w:rPr>
                <w:bCs/>
                <w:sz w:val="16"/>
                <w:szCs w:val="16"/>
                <w:lang w:val="ro-RO"/>
              </w:rPr>
              <w:t>dosare încadrate în perioada de raportare</w:t>
            </w:r>
          </w:p>
        </w:tc>
        <w:tc>
          <w:tcPr>
            <w:tcW w:w="3824" w:type="dxa"/>
            <w:gridSpan w:val="5"/>
            <w:tcBorders>
              <w:top w:val="single" w:sz="8" w:space="0" w:color="auto"/>
              <w:left w:val="single" w:sz="8" w:space="0" w:color="auto"/>
              <w:bottom w:val="single" w:sz="8" w:space="0" w:color="auto"/>
              <w:right w:val="nil"/>
            </w:tcBorders>
            <w:hideMark/>
          </w:tcPr>
          <w:p w:rsidR="00D42225" w:rsidRPr="00866277" w:rsidRDefault="00D42225">
            <w:pPr>
              <w:spacing w:line="256" w:lineRule="auto"/>
              <w:jc w:val="center"/>
              <w:rPr>
                <w:bCs/>
                <w:sz w:val="16"/>
                <w:szCs w:val="16"/>
                <w:lang w:val="ro-RO"/>
              </w:rPr>
            </w:pPr>
            <w:r w:rsidRPr="00866277">
              <w:rPr>
                <w:bCs/>
                <w:sz w:val="16"/>
                <w:szCs w:val="16"/>
                <w:lang w:val="ro-RO"/>
              </w:rPr>
              <w:t>dosare încheiate în perioada darii de seama</w:t>
            </w:r>
          </w:p>
        </w:tc>
        <w:tc>
          <w:tcPr>
            <w:tcW w:w="709" w:type="dxa"/>
            <w:tcBorders>
              <w:top w:val="single" w:sz="8" w:space="0" w:color="auto"/>
              <w:left w:val="nil"/>
              <w:bottom w:val="single" w:sz="8" w:space="0" w:color="auto"/>
              <w:right w:val="nil"/>
            </w:tcBorders>
            <w:hideMark/>
          </w:tcPr>
          <w:p w:rsidR="00D42225" w:rsidRPr="00866277" w:rsidRDefault="00D42225">
            <w:pPr>
              <w:rPr>
                <w:bCs/>
                <w:sz w:val="16"/>
                <w:szCs w:val="16"/>
                <w:lang w:val="ro-RO"/>
              </w:rPr>
            </w:pPr>
          </w:p>
        </w:tc>
        <w:tc>
          <w:tcPr>
            <w:tcW w:w="1134" w:type="dxa"/>
            <w:tcBorders>
              <w:top w:val="single" w:sz="8" w:space="0" w:color="auto"/>
              <w:left w:val="nil"/>
              <w:bottom w:val="single" w:sz="8" w:space="0" w:color="auto"/>
              <w:right w:val="nil"/>
            </w:tcBorders>
            <w:hideMark/>
          </w:tcPr>
          <w:p w:rsidR="00D42225" w:rsidRPr="00866277" w:rsidRDefault="00D42225">
            <w:pPr>
              <w:spacing w:line="256" w:lineRule="auto"/>
              <w:jc w:val="center"/>
              <w:rPr>
                <w:rFonts w:eastAsia="Times New Roman"/>
                <w:bCs/>
                <w:sz w:val="16"/>
                <w:szCs w:val="16"/>
                <w:lang w:val="ro-RO"/>
              </w:rPr>
            </w:pPr>
            <w:r w:rsidRPr="00866277">
              <w:rPr>
                <w:bCs/>
                <w:sz w:val="16"/>
                <w:szCs w:val="16"/>
                <w:lang w:val="ro-RO"/>
              </w:rPr>
              <w:t> </w:t>
            </w:r>
          </w:p>
        </w:tc>
        <w:tc>
          <w:tcPr>
            <w:tcW w:w="853" w:type="dxa"/>
            <w:tcBorders>
              <w:top w:val="single" w:sz="8" w:space="0" w:color="auto"/>
              <w:left w:val="nil"/>
              <w:bottom w:val="single" w:sz="8" w:space="0" w:color="auto"/>
              <w:right w:val="single" w:sz="8" w:space="0" w:color="auto"/>
            </w:tcBorders>
            <w:hideMark/>
          </w:tcPr>
          <w:p w:rsidR="00D42225" w:rsidRPr="00866277" w:rsidRDefault="00D42225">
            <w:pPr>
              <w:spacing w:line="256" w:lineRule="auto"/>
              <w:jc w:val="center"/>
              <w:rPr>
                <w:bCs/>
                <w:sz w:val="16"/>
                <w:szCs w:val="16"/>
                <w:lang w:val="ro-RO"/>
              </w:rPr>
            </w:pPr>
            <w:r w:rsidRPr="00866277">
              <w:rPr>
                <w:bCs/>
                <w:sz w:val="16"/>
                <w:szCs w:val="16"/>
                <w:lang w:val="ro-RO"/>
              </w:rPr>
              <w:t> </w:t>
            </w:r>
          </w:p>
        </w:tc>
        <w:tc>
          <w:tcPr>
            <w:tcW w:w="992" w:type="dxa"/>
            <w:vMerge w:val="restart"/>
            <w:tcBorders>
              <w:top w:val="single" w:sz="8" w:space="0" w:color="000000"/>
              <w:left w:val="single" w:sz="8" w:space="0" w:color="000000"/>
              <w:bottom w:val="single" w:sz="8" w:space="0" w:color="000000"/>
              <w:right w:val="single" w:sz="8" w:space="0" w:color="000000"/>
            </w:tcBorders>
            <w:hideMark/>
          </w:tcPr>
          <w:p w:rsidR="00D42225" w:rsidRPr="00866277" w:rsidRDefault="00D42225">
            <w:pPr>
              <w:spacing w:line="256" w:lineRule="auto"/>
              <w:jc w:val="center"/>
              <w:rPr>
                <w:bCs/>
                <w:sz w:val="16"/>
                <w:szCs w:val="16"/>
                <w:lang w:val="ro-RO"/>
              </w:rPr>
            </w:pPr>
            <w:r w:rsidRPr="00866277">
              <w:rPr>
                <w:bCs/>
                <w:sz w:val="16"/>
                <w:szCs w:val="16"/>
                <w:lang w:val="ro-RO"/>
              </w:rPr>
              <w:t>restul de dosare   la sfârșitul perioadei raportate</w:t>
            </w:r>
          </w:p>
        </w:tc>
        <w:tc>
          <w:tcPr>
            <w:tcW w:w="2124" w:type="dxa"/>
            <w:gridSpan w:val="3"/>
            <w:tcBorders>
              <w:top w:val="single" w:sz="8" w:space="0" w:color="000000"/>
              <w:left w:val="nil"/>
              <w:bottom w:val="single" w:sz="8" w:space="0" w:color="000000"/>
              <w:right w:val="single" w:sz="8" w:space="0" w:color="000000"/>
            </w:tcBorders>
            <w:hideMark/>
          </w:tcPr>
          <w:p w:rsidR="00D42225" w:rsidRPr="00866277" w:rsidRDefault="00D42225">
            <w:pPr>
              <w:spacing w:line="256" w:lineRule="auto"/>
              <w:jc w:val="center"/>
              <w:rPr>
                <w:bCs/>
                <w:sz w:val="16"/>
                <w:szCs w:val="16"/>
                <w:lang w:val="ro-RO"/>
              </w:rPr>
            </w:pPr>
            <w:r w:rsidRPr="00866277">
              <w:rPr>
                <w:bCs/>
                <w:sz w:val="16"/>
                <w:szCs w:val="16"/>
                <w:lang w:val="ro-RO"/>
              </w:rPr>
              <w:t>din care aflate pe rol</w:t>
            </w:r>
          </w:p>
        </w:tc>
        <w:tc>
          <w:tcPr>
            <w:tcW w:w="853" w:type="dxa"/>
            <w:gridSpan w:val="3"/>
            <w:vMerge w:val="restart"/>
            <w:tcBorders>
              <w:top w:val="single" w:sz="8" w:space="0" w:color="000000"/>
              <w:left w:val="single" w:sz="8" w:space="0" w:color="000000"/>
              <w:bottom w:val="single" w:sz="4" w:space="0" w:color="auto"/>
              <w:right w:val="single" w:sz="8" w:space="0" w:color="000000"/>
            </w:tcBorders>
          </w:tcPr>
          <w:p w:rsidR="00D42225" w:rsidRPr="00866277" w:rsidRDefault="00D42225">
            <w:pPr>
              <w:spacing w:line="256" w:lineRule="auto"/>
              <w:jc w:val="center"/>
              <w:rPr>
                <w:bCs/>
                <w:sz w:val="16"/>
                <w:szCs w:val="16"/>
                <w:lang w:val="ro-RO"/>
              </w:rPr>
            </w:pPr>
            <w:r w:rsidRPr="00866277">
              <w:rPr>
                <w:bCs/>
                <w:sz w:val="16"/>
                <w:szCs w:val="16"/>
                <w:lang w:val="ro-RO"/>
              </w:rPr>
              <w:t xml:space="preserve">suma taxei de stat plătită </w:t>
            </w:r>
          </w:p>
          <w:p w:rsidR="00D42225" w:rsidRPr="00866277" w:rsidRDefault="00D42225">
            <w:pPr>
              <w:spacing w:line="256" w:lineRule="auto"/>
              <w:rPr>
                <w:bCs/>
                <w:sz w:val="16"/>
                <w:szCs w:val="16"/>
                <w:lang w:val="ro-RO"/>
              </w:rPr>
            </w:pPr>
          </w:p>
        </w:tc>
        <w:tc>
          <w:tcPr>
            <w:tcW w:w="2126" w:type="dxa"/>
            <w:gridSpan w:val="7"/>
            <w:vMerge w:val="restart"/>
            <w:tcBorders>
              <w:top w:val="single" w:sz="8" w:space="0" w:color="000000"/>
              <w:left w:val="single" w:sz="8" w:space="0" w:color="000000"/>
              <w:bottom w:val="single" w:sz="4" w:space="0" w:color="auto"/>
              <w:right w:val="single" w:sz="8" w:space="0" w:color="auto"/>
            </w:tcBorders>
            <w:hideMark/>
          </w:tcPr>
          <w:p w:rsidR="00D42225" w:rsidRPr="00866277" w:rsidRDefault="00D42225">
            <w:pPr>
              <w:spacing w:line="256" w:lineRule="auto"/>
              <w:jc w:val="center"/>
              <w:rPr>
                <w:sz w:val="16"/>
                <w:szCs w:val="16"/>
                <w:lang w:val="ro-RO"/>
              </w:rPr>
            </w:pPr>
            <w:r w:rsidRPr="00866277">
              <w:rPr>
                <w:sz w:val="16"/>
                <w:szCs w:val="16"/>
                <w:lang w:val="ro-RO"/>
              </w:rPr>
              <w:t>Valoarea monetară a prejudiciilor recuperate</w:t>
            </w:r>
          </w:p>
        </w:tc>
      </w:tr>
      <w:tr w:rsidR="00D42225" w:rsidRPr="00866277" w:rsidTr="006902D5">
        <w:trPr>
          <w:trHeight w:val="977"/>
          <w:jc w:val="center"/>
        </w:trPr>
        <w:tc>
          <w:tcPr>
            <w:tcW w:w="1415" w:type="dxa"/>
            <w:vMerge/>
            <w:tcBorders>
              <w:top w:val="single" w:sz="8" w:space="0" w:color="000000"/>
              <w:left w:val="single" w:sz="8" w:space="0" w:color="000000"/>
              <w:bottom w:val="single" w:sz="8" w:space="0" w:color="000000"/>
              <w:right w:val="single" w:sz="8" w:space="0" w:color="000000"/>
            </w:tcBorders>
            <w:vAlign w:val="center"/>
            <w:hideMark/>
          </w:tcPr>
          <w:p w:rsidR="00D42225" w:rsidRPr="00866277" w:rsidRDefault="00D42225">
            <w:pPr>
              <w:spacing w:line="256" w:lineRule="auto"/>
              <w:rPr>
                <w:rFonts w:eastAsia="Times New Roman"/>
                <w:bCs/>
                <w:sz w:val="16"/>
                <w:szCs w:val="16"/>
                <w:lang w:val="ro-RO"/>
              </w:rPr>
            </w:pPr>
          </w:p>
        </w:tc>
        <w:tc>
          <w:tcPr>
            <w:tcW w:w="852" w:type="dxa"/>
            <w:vMerge/>
            <w:tcBorders>
              <w:top w:val="single" w:sz="8" w:space="0" w:color="000000"/>
              <w:left w:val="single" w:sz="8" w:space="0" w:color="000000"/>
              <w:bottom w:val="single" w:sz="8" w:space="0" w:color="000000"/>
              <w:right w:val="single" w:sz="8" w:space="0" w:color="000000"/>
            </w:tcBorders>
            <w:vAlign w:val="center"/>
            <w:hideMark/>
          </w:tcPr>
          <w:p w:rsidR="00D42225" w:rsidRPr="00866277" w:rsidRDefault="00D42225">
            <w:pPr>
              <w:spacing w:line="256" w:lineRule="auto"/>
              <w:rPr>
                <w:rFonts w:eastAsia="Times New Roman"/>
                <w:bCs/>
                <w:sz w:val="16"/>
                <w:szCs w:val="16"/>
                <w:lang w:val="ro-RO"/>
              </w:rPr>
            </w:pPr>
          </w:p>
        </w:tc>
        <w:tc>
          <w:tcPr>
            <w:tcW w:w="850" w:type="dxa"/>
            <w:vMerge/>
            <w:tcBorders>
              <w:top w:val="single" w:sz="8" w:space="0" w:color="000000"/>
              <w:left w:val="single" w:sz="8" w:space="0" w:color="000000"/>
              <w:bottom w:val="single" w:sz="8" w:space="0" w:color="000000"/>
              <w:right w:val="nil"/>
            </w:tcBorders>
            <w:vAlign w:val="center"/>
            <w:hideMark/>
          </w:tcPr>
          <w:p w:rsidR="00D42225" w:rsidRPr="00866277" w:rsidRDefault="00D42225">
            <w:pPr>
              <w:spacing w:line="256" w:lineRule="auto"/>
              <w:rPr>
                <w:rFonts w:eastAsia="Times New Roman"/>
                <w:bCs/>
                <w:sz w:val="16"/>
                <w:szCs w:val="16"/>
                <w:lang w:val="ro-RO"/>
              </w:rPr>
            </w:pPr>
          </w:p>
        </w:tc>
        <w:tc>
          <w:tcPr>
            <w:tcW w:w="705" w:type="dxa"/>
            <w:tcBorders>
              <w:top w:val="nil"/>
              <w:left w:val="single" w:sz="8" w:space="0" w:color="000000"/>
              <w:bottom w:val="single" w:sz="8" w:space="0" w:color="000000"/>
              <w:right w:val="single" w:sz="8" w:space="0" w:color="000000"/>
            </w:tcBorders>
            <w:hideMark/>
          </w:tcPr>
          <w:p w:rsidR="00D42225" w:rsidRPr="00866277" w:rsidRDefault="00D42225">
            <w:pPr>
              <w:spacing w:line="256" w:lineRule="auto"/>
              <w:jc w:val="center"/>
              <w:rPr>
                <w:bCs/>
                <w:sz w:val="18"/>
                <w:szCs w:val="18"/>
                <w:lang w:val="ro-RO"/>
              </w:rPr>
            </w:pPr>
            <w:r w:rsidRPr="00866277">
              <w:rPr>
                <w:bCs/>
                <w:sz w:val="18"/>
                <w:szCs w:val="18"/>
                <w:lang w:val="ro-RO"/>
              </w:rPr>
              <w:t xml:space="preserve">examinate cu pronunțarea </w:t>
            </w:r>
            <w:r w:rsidR="00F3402A" w:rsidRPr="00866277">
              <w:rPr>
                <w:bCs/>
                <w:sz w:val="18"/>
                <w:szCs w:val="18"/>
                <w:lang w:val="ro-RO"/>
              </w:rPr>
              <w:t>hotărârii</w:t>
            </w:r>
          </w:p>
        </w:tc>
        <w:tc>
          <w:tcPr>
            <w:tcW w:w="854" w:type="dxa"/>
            <w:tcBorders>
              <w:top w:val="nil"/>
              <w:left w:val="single" w:sz="8" w:space="0" w:color="000000"/>
              <w:bottom w:val="single" w:sz="8" w:space="0" w:color="000000"/>
              <w:right w:val="single" w:sz="8" w:space="0" w:color="000000"/>
            </w:tcBorders>
            <w:hideMark/>
          </w:tcPr>
          <w:p w:rsidR="00D42225" w:rsidRPr="00866277" w:rsidRDefault="00D42225">
            <w:pPr>
              <w:spacing w:line="256" w:lineRule="auto"/>
              <w:jc w:val="center"/>
              <w:rPr>
                <w:bCs/>
                <w:sz w:val="18"/>
                <w:szCs w:val="18"/>
                <w:lang w:val="ro-RO"/>
              </w:rPr>
            </w:pPr>
            <w:r w:rsidRPr="00866277">
              <w:rPr>
                <w:bCs/>
                <w:sz w:val="18"/>
                <w:szCs w:val="18"/>
                <w:lang w:val="ro-RO"/>
              </w:rPr>
              <w:t xml:space="preserve">inclusiv cu admitere a </w:t>
            </w:r>
            <w:r w:rsidR="00F3402A" w:rsidRPr="00866277">
              <w:rPr>
                <w:bCs/>
                <w:sz w:val="18"/>
                <w:szCs w:val="18"/>
                <w:lang w:val="ro-RO"/>
              </w:rPr>
              <w:t>acțiunii</w:t>
            </w:r>
          </w:p>
        </w:tc>
        <w:tc>
          <w:tcPr>
            <w:tcW w:w="709" w:type="dxa"/>
            <w:tcBorders>
              <w:top w:val="nil"/>
              <w:left w:val="single" w:sz="8" w:space="0" w:color="000000"/>
              <w:bottom w:val="single" w:sz="8" w:space="0" w:color="000000"/>
              <w:right w:val="single" w:sz="8" w:space="0" w:color="000000"/>
            </w:tcBorders>
            <w:hideMark/>
          </w:tcPr>
          <w:p w:rsidR="00D42225" w:rsidRPr="00866277" w:rsidRDefault="00D42225">
            <w:pPr>
              <w:spacing w:line="256" w:lineRule="auto"/>
              <w:jc w:val="center"/>
              <w:rPr>
                <w:bCs/>
                <w:sz w:val="18"/>
                <w:szCs w:val="18"/>
                <w:lang w:val="ro-RO"/>
              </w:rPr>
            </w:pPr>
            <w:r w:rsidRPr="00866277">
              <w:rPr>
                <w:bCs/>
                <w:sz w:val="18"/>
                <w:szCs w:val="18"/>
                <w:lang w:val="ro-RO"/>
              </w:rPr>
              <w:t>cu încetarea procesului</w:t>
            </w:r>
          </w:p>
        </w:tc>
        <w:tc>
          <w:tcPr>
            <w:tcW w:w="850" w:type="dxa"/>
            <w:tcBorders>
              <w:top w:val="nil"/>
              <w:left w:val="single" w:sz="8" w:space="0" w:color="000000"/>
              <w:bottom w:val="single" w:sz="8" w:space="0" w:color="000000"/>
              <w:right w:val="single" w:sz="8" w:space="0" w:color="000000"/>
            </w:tcBorders>
            <w:hideMark/>
          </w:tcPr>
          <w:p w:rsidR="00D42225" w:rsidRPr="00866277" w:rsidRDefault="00D42225">
            <w:pPr>
              <w:spacing w:line="256" w:lineRule="auto"/>
              <w:jc w:val="center"/>
              <w:rPr>
                <w:bCs/>
                <w:sz w:val="18"/>
                <w:szCs w:val="18"/>
                <w:lang w:val="ro-RO"/>
              </w:rPr>
            </w:pPr>
            <w:r w:rsidRPr="00866277">
              <w:rPr>
                <w:bCs/>
                <w:sz w:val="18"/>
                <w:szCs w:val="18"/>
                <w:lang w:val="ro-RO"/>
              </w:rPr>
              <w:t>cu scoaterea cererii de pe rol</w:t>
            </w:r>
          </w:p>
        </w:tc>
        <w:tc>
          <w:tcPr>
            <w:tcW w:w="706" w:type="dxa"/>
            <w:tcBorders>
              <w:top w:val="nil"/>
              <w:left w:val="single" w:sz="8" w:space="0" w:color="000000"/>
              <w:bottom w:val="single" w:sz="8" w:space="0" w:color="000000"/>
              <w:right w:val="single" w:sz="8" w:space="0" w:color="000000"/>
            </w:tcBorders>
            <w:hideMark/>
          </w:tcPr>
          <w:p w:rsidR="00D42225" w:rsidRPr="00866277" w:rsidRDefault="00D42225">
            <w:pPr>
              <w:spacing w:line="256" w:lineRule="auto"/>
              <w:jc w:val="center"/>
              <w:rPr>
                <w:bCs/>
                <w:sz w:val="18"/>
                <w:szCs w:val="18"/>
                <w:lang w:val="ro-RO"/>
              </w:rPr>
            </w:pPr>
            <w:r w:rsidRPr="00866277">
              <w:rPr>
                <w:bCs/>
                <w:sz w:val="18"/>
                <w:szCs w:val="18"/>
                <w:lang w:val="ro-RO"/>
              </w:rPr>
              <w:t>transmise instanței competente</w:t>
            </w:r>
          </w:p>
        </w:tc>
        <w:tc>
          <w:tcPr>
            <w:tcW w:w="709" w:type="dxa"/>
            <w:tcBorders>
              <w:top w:val="nil"/>
              <w:left w:val="single" w:sz="8" w:space="0" w:color="000000"/>
              <w:bottom w:val="single" w:sz="8" w:space="0" w:color="000000"/>
              <w:right w:val="single" w:sz="8" w:space="0" w:color="000000"/>
            </w:tcBorders>
            <w:hideMark/>
          </w:tcPr>
          <w:p w:rsidR="00D42225" w:rsidRPr="00866277" w:rsidRDefault="00D42225">
            <w:pPr>
              <w:spacing w:line="256" w:lineRule="auto"/>
              <w:jc w:val="center"/>
              <w:rPr>
                <w:bCs/>
                <w:sz w:val="18"/>
                <w:szCs w:val="18"/>
                <w:lang w:val="ro-RO"/>
              </w:rPr>
            </w:pPr>
            <w:r w:rsidRPr="00866277">
              <w:rPr>
                <w:bCs/>
                <w:sz w:val="18"/>
                <w:szCs w:val="18"/>
                <w:lang w:val="ro-RO"/>
              </w:rPr>
              <w:t>total (suma coloanelor 3, 5-7)</w:t>
            </w:r>
          </w:p>
        </w:tc>
        <w:tc>
          <w:tcPr>
            <w:tcW w:w="1134" w:type="dxa"/>
            <w:tcBorders>
              <w:top w:val="nil"/>
              <w:left w:val="single" w:sz="8" w:space="0" w:color="000000"/>
              <w:bottom w:val="single" w:sz="8" w:space="0" w:color="000000"/>
              <w:right w:val="single" w:sz="8" w:space="0" w:color="000000"/>
            </w:tcBorders>
            <w:hideMark/>
          </w:tcPr>
          <w:p w:rsidR="00D42225" w:rsidRPr="00866277" w:rsidRDefault="00D42225">
            <w:pPr>
              <w:spacing w:line="256" w:lineRule="auto"/>
              <w:jc w:val="center"/>
              <w:rPr>
                <w:bCs/>
                <w:sz w:val="18"/>
                <w:szCs w:val="18"/>
                <w:lang w:val="ro-RO"/>
              </w:rPr>
            </w:pPr>
            <w:r w:rsidRPr="00866277">
              <w:rPr>
                <w:bCs/>
                <w:sz w:val="18"/>
                <w:szCs w:val="18"/>
                <w:lang w:val="ro-RO"/>
              </w:rPr>
              <w:t>în termen e mai mult de 2 luni</w:t>
            </w:r>
          </w:p>
        </w:tc>
        <w:tc>
          <w:tcPr>
            <w:tcW w:w="853" w:type="dxa"/>
            <w:tcBorders>
              <w:top w:val="nil"/>
              <w:left w:val="single" w:sz="8" w:space="0" w:color="000000"/>
              <w:bottom w:val="single" w:sz="8" w:space="0" w:color="000000"/>
              <w:right w:val="single" w:sz="8" w:space="0" w:color="000000"/>
            </w:tcBorders>
            <w:hideMark/>
          </w:tcPr>
          <w:p w:rsidR="00D42225" w:rsidRPr="00866277" w:rsidRDefault="00D42225">
            <w:pPr>
              <w:spacing w:line="256" w:lineRule="auto"/>
              <w:jc w:val="center"/>
              <w:rPr>
                <w:bCs/>
                <w:sz w:val="18"/>
                <w:szCs w:val="18"/>
                <w:lang w:val="ro-RO"/>
              </w:rPr>
            </w:pPr>
            <w:r w:rsidRPr="00866277">
              <w:rPr>
                <w:bCs/>
                <w:sz w:val="18"/>
                <w:szCs w:val="18"/>
                <w:lang w:val="ro-RO"/>
              </w:rPr>
              <w:t>cauze examinate în ședințe închise</w:t>
            </w: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D42225" w:rsidRPr="00866277" w:rsidRDefault="00D42225">
            <w:pPr>
              <w:spacing w:line="256" w:lineRule="auto"/>
              <w:rPr>
                <w:rFonts w:eastAsia="Times New Roman"/>
                <w:bCs/>
                <w:sz w:val="16"/>
                <w:szCs w:val="16"/>
                <w:lang w:val="ro-RO"/>
              </w:rPr>
            </w:pPr>
          </w:p>
        </w:tc>
        <w:tc>
          <w:tcPr>
            <w:tcW w:w="848" w:type="dxa"/>
            <w:tcBorders>
              <w:top w:val="nil"/>
              <w:left w:val="single" w:sz="8" w:space="0" w:color="000000"/>
              <w:bottom w:val="single" w:sz="8" w:space="0" w:color="000000"/>
              <w:right w:val="single" w:sz="8" w:space="0" w:color="000000"/>
            </w:tcBorders>
            <w:hideMark/>
          </w:tcPr>
          <w:p w:rsidR="00D42225" w:rsidRPr="00866277" w:rsidRDefault="00D42225">
            <w:pPr>
              <w:spacing w:line="256" w:lineRule="auto"/>
              <w:jc w:val="center"/>
              <w:rPr>
                <w:bCs/>
                <w:sz w:val="16"/>
                <w:szCs w:val="16"/>
                <w:lang w:val="ro-RO"/>
              </w:rPr>
            </w:pPr>
            <w:r w:rsidRPr="00866277">
              <w:rPr>
                <w:bCs/>
                <w:sz w:val="16"/>
                <w:szCs w:val="16"/>
                <w:lang w:val="ro-RO"/>
              </w:rPr>
              <w:t>mai mult de 12 luni</w:t>
            </w:r>
          </w:p>
        </w:tc>
        <w:tc>
          <w:tcPr>
            <w:tcW w:w="567" w:type="dxa"/>
            <w:tcBorders>
              <w:top w:val="nil"/>
              <w:left w:val="single" w:sz="8" w:space="0" w:color="000000"/>
              <w:bottom w:val="single" w:sz="8" w:space="0" w:color="000000"/>
              <w:right w:val="single" w:sz="8" w:space="0" w:color="000000"/>
            </w:tcBorders>
            <w:hideMark/>
          </w:tcPr>
          <w:p w:rsidR="00D42225" w:rsidRPr="00866277" w:rsidRDefault="00D42225">
            <w:pPr>
              <w:spacing w:line="256" w:lineRule="auto"/>
              <w:jc w:val="center"/>
              <w:rPr>
                <w:bCs/>
                <w:sz w:val="16"/>
                <w:szCs w:val="16"/>
                <w:lang w:val="ro-RO"/>
              </w:rPr>
            </w:pPr>
            <w:r w:rsidRPr="00866277">
              <w:rPr>
                <w:bCs/>
                <w:sz w:val="16"/>
                <w:szCs w:val="16"/>
                <w:lang w:val="ro-RO"/>
              </w:rPr>
              <w:t>mai mult de 24  luni</w:t>
            </w:r>
          </w:p>
        </w:tc>
        <w:tc>
          <w:tcPr>
            <w:tcW w:w="709" w:type="dxa"/>
            <w:tcBorders>
              <w:top w:val="nil"/>
              <w:left w:val="single" w:sz="8" w:space="0" w:color="000000"/>
              <w:bottom w:val="single" w:sz="4" w:space="0" w:color="auto"/>
              <w:right w:val="single" w:sz="8" w:space="0" w:color="000000"/>
            </w:tcBorders>
            <w:hideMark/>
          </w:tcPr>
          <w:p w:rsidR="00D42225" w:rsidRPr="00866277" w:rsidRDefault="00D42225">
            <w:pPr>
              <w:spacing w:line="256" w:lineRule="auto"/>
              <w:jc w:val="center"/>
              <w:rPr>
                <w:bCs/>
                <w:sz w:val="16"/>
                <w:szCs w:val="16"/>
                <w:lang w:val="ro-RO"/>
              </w:rPr>
            </w:pPr>
            <w:r w:rsidRPr="00866277">
              <w:rPr>
                <w:bCs/>
                <w:sz w:val="16"/>
                <w:szCs w:val="16"/>
                <w:lang w:val="ro-RO"/>
              </w:rPr>
              <w:t>mai mult de 36  luni</w:t>
            </w:r>
          </w:p>
        </w:tc>
        <w:tc>
          <w:tcPr>
            <w:tcW w:w="853" w:type="dxa"/>
            <w:gridSpan w:val="3"/>
            <w:vMerge/>
            <w:tcBorders>
              <w:top w:val="nil"/>
              <w:left w:val="single" w:sz="8" w:space="0" w:color="000000"/>
              <w:bottom w:val="single" w:sz="4" w:space="0" w:color="auto"/>
              <w:right w:val="single" w:sz="8" w:space="0" w:color="000000"/>
            </w:tcBorders>
            <w:vAlign w:val="center"/>
            <w:hideMark/>
          </w:tcPr>
          <w:p w:rsidR="00D42225" w:rsidRPr="00866277" w:rsidRDefault="00D42225">
            <w:pPr>
              <w:spacing w:line="256" w:lineRule="auto"/>
              <w:rPr>
                <w:rFonts w:eastAsia="Times New Roman"/>
                <w:bCs/>
                <w:sz w:val="16"/>
                <w:szCs w:val="16"/>
                <w:lang w:val="ro-RO"/>
              </w:rPr>
            </w:pPr>
          </w:p>
        </w:tc>
        <w:tc>
          <w:tcPr>
            <w:tcW w:w="2126" w:type="dxa"/>
            <w:gridSpan w:val="7"/>
            <w:vMerge/>
            <w:tcBorders>
              <w:top w:val="nil"/>
              <w:left w:val="single" w:sz="8" w:space="0" w:color="000000"/>
              <w:bottom w:val="single" w:sz="4" w:space="0" w:color="auto"/>
              <w:right w:val="single" w:sz="8" w:space="0" w:color="000000"/>
            </w:tcBorders>
            <w:vAlign w:val="center"/>
            <w:hideMark/>
          </w:tcPr>
          <w:p w:rsidR="00D42225" w:rsidRPr="00866277" w:rsidRDefault="00D42225">
            <w:pPr>
              <w:spacing w:line="256" w:lineRule="auto"/>
              <w:rPr>
                <w:rFonts w:eastAsia="Times New Roman"/>
                <w:sz w:val="16"/>
                <w:szCs w:val="16"/>
                <w:lang w:val="ro-RO"/>
              </w:rPr>
            </w:pPr>
          </w:p>
        </w:tc>
      </w:tr>
      <w:tr w:rsidR="00D42225" w:rsidRPr="00866277" w:rsidTr="006902D5">
        <w:trPr>
          <w:trHeight w:val="180"/>
          <w:jc w:val="center"/>
        </w:trPr>
        <w:tc>
          <w:tcPr>
            <w:tcW w:w="1415" w:type="dxa"/>
            <w:tcBorders>
              <w:top w:val="nil"/>
              <w:left w:val="single" w:sz="8" w:space="0" w:color="000000"/>
              <w:bottom w:val="single" w:sz="8" w:space="0" w:color="000000"/>
              <w:right w:val="single" w:sz="8" w:space="0" w:color="000000"/>
            </w:tcBorders>
            <w:hideMark/>
          </w:tcPr>
          <w:p w:rsidR="00D42225" w:rsidRPr="00866277" w:rsidRDefault="00D42225">
            <w:pPr>
              <w:spacing w:line="256" w:lineRule="auto"/>
              <w:rPr>
                <w:bCs/>
                <w:sz w:val="20"/>
                <w:szCs w:val="20"/>
                <w:lang w:val="ro-RO"/>
              </w:rPr>
            </w:pPr>
            <w:r w:rsidRPr="00866277">
              <w:rPr>
                <w:bCs/>
                <w:sz w:val="20"/>
                <w:szCs w:val="20"/>
                <w:lang w:val="ro-RO"/>
              </w:rPr>
              <w:t>A</w:t>
            </w:r>
          </w:p>
        </w:tc>
        <w:tc>
          <w:tcPr>
            <w:tcW w:w="852" w:type="dxa"/>
            <w:tcBorders>
              <w:top w:val="nil"/>
              <w:left w:val="nil"/>
              <w:bottom w:val="single" w:sz="8" w:space="0" w:color="000000"/>
              <w:right w:val="single" w:sz="8" w:space="0" w:color="000000"/>
            </w:tcBorders>
            <w:hideMark/>
          </w:tcPr>
          <w:p w:rsidR="00D42225" w:rsidRPr="00866277" w:rsidRDefault="00D42225">
            <w:pPr>
              <w:spacing w:line="256" w:lineRule="auto"/>
              <w:jc w:val="center"/>
              <w:rPr>
                <w:bCs/>
                <w:sz w:val="20"/>
                <w:szCs w:val="20"/>
                <w:lang w:val="ro-RO"/>
              </w:rPr>
            </w:pPr>
            <w:r w:rsidRPr="00866277">
              <w:rPr>
                <w:bCs/>
                <w:sz w:val="20"/>
                <w:szCs w:val="20"/>
                <w:lang w:val="ro-RO"/>
              </w:rPr>
              <w:t>1</w:t>
            </w:r>
          </w:p>
        </w:tc>
        <w:tc>
          <w:tcPr>
            <w:tcW w:w="850" w:type="dxa"/>
            <w:tcBorders>
              <w:top w:val="nil"/>
              <w:left w:val="nil"/>
              <w:bottom w:val="single" w:sz="8" w:space="0" w:color="000000"/>
              <w:right w:val="single" w:sz="8" w:space="0" w:color="000000"/>
            </w:tcBorders>
            <w:hideMark/>
          </w:tcPr>
          <w:p w:rsidR="00D42225" w:rsidRPr="00866277" w:rsidRDefault="00D42225">
            <w:pPr>
              <w:spacing w:line="256" w:lineRule="auto"/>
              <w:jc w:val="center"/>
              <w:rPr>
                <w:bCs/>
                <w:sz w:val="20"/>
                <w:szCs w:val="20"/>
                <w:lang w:val="ro-RO"/>
              </w:rPr>
            </w:pPr>
            <w:r w:rsidRPr="00866277">
              <w:rPr>
                <w:bCs/>
                <w:sz w:val="20"/>
                <w:szCs w:val="20"/>
                <w:lang w:val="ro-RO"/>
              </w:rPr>
              <w:t>2</w:t>
            </w:r>
          </w:p>
        </w:tc>
        <w:tc>
          <w:tcPr>
            <w:tcW w:w="705" w:type="dxa"/>
            <w:tcBorders>
              <w:top w:val="nil"/>
              <w:left w:val="nil"/>
              <w:bottom w:val="single" w:sz="8" w:space="0" w:color="000000"/>
              <w:right w:val="single" w:sz="8" w:space="0" w:color="000000"/>
            </w:tcBorders>
            <w:hideMark/>
          </w:tcPr>
          <w:p w:rsidR="00D42225" w:rsidRPr="00866277" w:rsidRDefault="00D42225">
            <w:pPr>
              <w:spacing w:line="256" w:lineRule="auto"/>
              <w:jc w:val="center"/>
              <w:rPr>
                <w:bCs/>
                <w:sz w:val="20"/>
                <w:szCs w:val="20"/>
                <w:lang w:val="ro-RO"/>
              </w:rPr>
            </w:pPr>
            <w:r w:rsidRPr="00866277">
              <w:rPr>
                <w:bCs/>
                <w:sz w:val="20"/>
                <w:szCs w:val="20"/>
                <w:lang w:val="ro-RO"/>
              </w:rPr>
              <w:t>3</w:t>
            </w:r>
          </w:p>
        </w:tc>
        <w:tc>
          <w:tcPr>
            <w:tcW w:w="854" w:type="dxa"/>
            <w:tcBorders>
              <w:top w:val="nil"/>
              <w:left w:val="nil"/>
              <w:bottom w:val="single" w:sz="8" w:space="0" w:color="000000"/>
              <w:right w:val="single" w:sz="8" w:space="0" w:color="000000"/>
            </w:tcBorders>
            <w:hideMark/>
          </w:tcPr>
          <w:p w:rsidR="00D42225" w:rsidRPr="00866277" w:rsidRDefault="00D42225">
            <w:pPr>
              <w:spacing w:line="256" w:lineRule="auto"/>
              <w:jc w:val="center"/>
              <w:rPr>
                <w:bCs/>
                <w:sz w:val="20"/>
                <w:szCs w:val="20"/>
                <w:lang w:val="ro-RO"/>
              </w:rPr>
            </w:pPr>
            <w:r w:rsidRPr="00866277">
              <w:rPr>
                <w:bCs/>
                <w:sz w:val="20"/>
                <w:szCs w:val="20"/>
                <w:lang w:val="ro-RO"/>
              </w:rPr>
              <w:t>4</w:t>
            </w:r>
          </w:p>
        </w:tc>
        <w:tc>
          <w:tcPr>
            <w:tcW w:w="709" w:type="dxa"/>
            <w:tcBorders>
              <w:top w:val="nil"/>
              <w:left w:val="nil"/>
              <w:bottom w:val="single" w:sz="8" w:space="0" w:color="000000"/>
              <w:right w:val="single" w:sz="8" w:space="0" w:color="000000"/>
            </w:tcBorders>
            <w:hideMark/>
          </w:tcPr>
          <w:p w:rsidR="00D42225" w:rsidRPr="00866277" w:rsidRDefault="00D42225">
            <w:pPr>
              <w:spacing w:line="256" w:lineRule="auto"/>
              <w:jc w:val="center"/>
              <w:rPr>
                <w:bCs/>
                <w:sz w:val="20"/>
                <w:szCs w:val="20"/>
                <w:lang w:val="ro-RO"/>
              </w:rPr>
            </w:pPr>
            <w:r w:rsidRPr="00866277">
              <w:rPr>
                <w:bCs/>
                <w:sz w:val="20"/>
                <w:szCs w:val="20"/>
                <w:lang w:val="ro-RO"/>
              </w:rPr>
              <w:t>5</w:t>
            </w:r>
          </w:p>
        </w:tc>
        <w:tc>
          <w:tcPr>
            <w:tcW w:w="850" w:type="dxa"/>
            <w:tcBorders>
              <w:top w:val="nil"/>
              <w:left w:val="nil"/>
              <w:bottom w:val="single" w:sz="8" w:space="0" w:color="000000"/>
              <w:right w:val="single" w:sz="8" w:space="0" w:color="000000"/>
            </w:tcBorders>
            <w:hideMark/>
          </w:tcPr>
          <w:p w:rsidR="00D42225" w:rsidRPr="00866277" w:rsidRDefault="00D42225">
            <w:pPr>
              <w:spacing w:line="256" w:lineRule="auto"/>
              <w:jc w:val="center"/>
              <w:rPr>
                <w:bCs/>
                <w:sz w:val="20"/>
                <w:szCs w:val="20"/>
                <w:lang w:val="ro-RO"/>
              </w:rPr>
            </w:pPr>
            <w:r w:rsidRPr="00866277">
              <w:rPr>
                <w:bCs/>
                <w:sz w:val="20"/>
                <w:szCs w:val="20"/>
                <w:lang w:val="ro-RO"/>
              </w:rPr>
              <w:t>6</w:t>
            </w:r>
          </w:p>
        </w:tc>
        <w:tc>
          <w:tcPr>
            <w:tcW w:w="706" w:type="dxa"/>
            <w:tcBorders>
              <w:top w:val="nil"/>
              <w:left w:val="nil"/>
              <w:bottom w:val="single" w:sz="8" w:space="0" w:color="000000"/>
              <w:right w:val="single" w:sz="8" w:space="0" w:color="000000"/>
            </w:tcBorders>
            <w:hideMark/>
          </w:tcPr>
          <w:p w:rsidR="00D42225" w:rsidRPr="00866277" w:rsidRDefault="00D42225">
            <w:pPr>
              <w:spacing w:line="256" w:lineRule="auto"/>
              <w:jc w:val="center"/>
              <w:rPr>
                <w:bCs/>
                <w:sz w:val="20"/>
                <w:szCs w:val="20"/>
                <w:lang w:val="ro-RO"/>
              </w:rPr>
            </w:pPr>
            <w:r w:rsidRPr="00866277">
              <w:rPr>
                <w:bCs/>
                <w:sz w:val="20"/>
                <w:szCs w:val="20"/>
                <w:lang w:val="ro-RO"/>
              </w:rPr>
              <w:t>7</w:t>
            </w:r>
          </w:p>
        </w:tc>
        <w:tc>
          <w:tcPr>
            <w:tcW w:w="709" w:type="dxa"/>
            <w:tcBorders>
              <w:top w:val="nil"/>
              <w:left w:val="nil"/>
              <w:bottom w:val="single" w:sz="8" w:space="0" w:color="000000"/>
              <w:right w:val="single" w:sz="8" w:space="0" w:color="000000"/>
            </w:tcBorders>
            <w:hideMark/>
          </w:tcPr>
          <w:p w:rsidR="00D42225" w:rsidRPr="00866277" w:rsidRDefault="00D42225">
            <w:pPr>
              <w:spacing w:line="256" w:lineRule="auto"/>
              <w:jc w:val="center"/>
              <w:rPr>
                <w:bCs/>
                <w:sz w:val="20"/>
                <w:szCs w:val="20"/>
                <w:lang w:val="ro-RO"/>
              </w:rPr>
            </w:pPr>
            <w:r w:rsidRPr="00866277">
              <w:rPr>
                <w:bCs/>
                <w:sz w:val="20"/>
                <w:szCs w:val="20"/>
                <w:lang w:val="ro-RO"/>
              </w:rPr>
              <w:t>8</w:t>
            </w:r>
          </w:p>
        </w:tc>
        <w:tc>
          <w:tcPr>
            <w:tcW w:w="1134" w:type="dxa"/>
            <w:tcBorders>
              <w:top w:val="nil"/>
              <w:left w:val="nil"/>
              <w:bottom w:val="single" w:sz="8" w:space="0" w:color="000000"/>
              <w:right w:val="single" w:sz="8" w:space="0" w:color="000000"/>
            </w:tcBorders>
            <w:hideMark/>
          </w:tcPr>
          <w:p w:rsidR="00D42225" w:rsidRPr="00866277" w:rsidRDefault="00D42225">
            <w:pPr>
              <w:spacing w:line="256" w:lineRule="auto"/>
              <w:jc w:val="center"/>
              <w:rPr>
                <w:bCs/>
                <w:sz w:val="20"/>
                <w:szCs w:val="20"/>
                <w:lang w:val="ro-RO"/>
              </w:rPr>
            </w:pPr>
            <w:r w:rsidRPr="00866277">
              <w:rPr>
                <w:bCs/>
                <w:sz w:val="20"/>
                <w:szCs w:val="20"/>
                <w:lang w:val="ro-RO"/>
              </w:rPr>
              <w:t>9</w:t>
            </w:r>
          </w:p>
        </w:tc>
        <w:tc>
          <w:tcPr>
            <w:tcW w:w="853" w:type="dxa"/>
            <w:tcBorders>
              <w:top w:val="nil"/>
              <w:left w:val="nil"/>
              <w:bottom w:val="single" w:sz="8" w:space="0" w:color="000000"/>
              <w:right w:val="single" w:sz="8" w:space="0" w:color="000000"/>
            </w:tcBorders>
            <w:hideMark/>
          </w:tcPr>
          <w:p w:rsidR="00D42225" w:rsidRPr="00866277" w:rsidRDefault="00D42225">
            <w:pPr>
              <w:spacing w:line="256" w:lineRule="auto"/>
              <w:jc w:val="center"/>
              <w:rPr>
                <w:bCs/>
                <w:sz w:val="20"/>
                <w:szCs w:val="20"/>
                <w:lang w:val="ro-RO"/>
              </w:rPr>
            </w:pPr>
            <w:r w:rsidRPr="00866277">
              <w:rPr>
                <w:bCs/>
                <w:sz w:val="20"/>
                <w:szCs w:val="20"/>
                <w:lang w:val="ro-RO"/>
              </w:rPr>
              <w:t>10</w:t>
            </w:r>
          </w:p>
        </w:tc>
        <w:tc>
          <w:tcPr>
            <w:tcW w:w="992" w:type="dxa"/>
            <w:tcBorders>
              <w:top w:val="nil"/>
              <w:left w:val="nil"/>
              <w:bottom w:val="single" w:sz="8" w:space="0" w:color="000000"/>
              <w:right w:val="single" w:sz="8" w:space="0" w:color="000000"/>
            </w:tcBorders>
            <w:hideMark/>
          </w:tcPr>
          <w:p w:rsidR="00D42225" w:rsidRPr="00866277" w:rsidRDefault="00D42225">
            <w:pPr>
              <w:spacing w:line="256" w:lineRule="auto"/>
              <w:jc w:val="center"/>
              <w:rPr>
                <w:bCs/>
                <w:sz w:val="20"/>
                <w:szCs w:val="20"/>
                <w:lang w:val="ro-RO"/>
              </w:rPr>
            </w:pPr>
            <w:r w:rsidRPr="00866277">
              <w:rPr>
                <w:bCs/>
                <w:sz w:val="20"/>
                <w:szCs w:val="20"/>
                <w:lang w:val="ro-RO"/>
              </w:rPr>
              <w:t>11</w:t>
            </w:r>
          </w:p>
        </w:tc>
        <w:tc>
          <w:tcPr>
            <w:tcW w:w="848" w:type="dxa"/>
            <w:tcBorders>
              <w:top w:val="nil"/>
              <w:left w:val="nil"/>
              <w:bottom w:val="single" w:sz="8" w:space="0" w:color="000000"/>
              <w:right w:val="single" w:sz="8" w:space="0" w:color="000000"/>
            </w:tcBorders>
            <w:hideMark/>
          </w:tcPr>
          <w:p w:rsidR="00D42225" w:rsidRPr="00866277" w:rsidRDefault="00D42225">
            <w:pPr>
              <w:spacing w:line="256" w:lineRule="auto"/>
              <w:jc w:val="center"/>
              <w:rPr>
                <w:bCs/>
                <w:sz w:val="20"/>
                <w:szCs w:val="20"/>
                <w:lang w:val="ro-RO"/>
              </w:rPr>
            </w:pPr>
            <w:r w:rsidRPr="00866277">
              <w:rPr>
                <w:bCs/>
                <w:sz w:val="20"/>
                <w:szCs w:val="20"/>
                <w:lang w:val="ro-RO"/>
              </w:rPr>
              <w:t>12</w:t>
            </w:r>
          </w:p>
        </w:tc>
        <w:tc>
          <w:tcPr>
            <w:tcW w:w="567" w:type="dxa"/>
            <w:tcBorders>
              <w:top w:val="nil"/>
              <w:left w:val="nil"/>
              <w:bottom w:val="single" w:sz="8" w:space="0" w:color="000000"/>
              <w:right w:val="single" w:sz="8" w:space="0" w:color="000000"/>
            </w:tcBorders>
            <w:hideMark/>
          </w:tcPr>
          <w:p w:rsidR="00D42225" w:rsidRPr="00866277" w:rsidRDefault="00D42225">
            <w:pPr>
              <w:spacing w:line="256" w:lineRule="auto"/>
              <w:jc w:val="center"/>
              <w:rPr>
                <w:bCs/>
                <w:sz w:val="20"/>
                <w:szCs w:val="20"/>
                <w:lang w:val="ro-RO"/>
              </w:rPr>
            </w:pPr>
            <w:r w:rsidRPr="00866277">
              <w:rPr>
                <w:bCs/>
                <w:sz w:val="20"/>
                <w:szCs w:val="20"/>
                <w:lang w:val="ro-RO"/>
              </w:rPr>
              <w:t>13</w:t>
            </w:r>
          </w:p>
        </w:tc>
        <w:tc>
          <w:tcPr>
            <w:tcW w:w="709" w:type="dxa"/>
            <w:tcBorders>
              <w:top w:val="single" w:sz="4" w:space="0" w:color="auto"/>
              <w:left w:val="nil"/>
              <w:bottom w:val="single" w:sz="8" w:space="0" w:color="000000"/>
              <w:right w:val="single" w:sz="8" w:space="0" w:color="000000"/>
            </w:tcBorders>
            <w:hideMark/>
          </w:tcPr>
          <w:p w:rsidR="00D42225" w:rsidRPr="00866277" w:rsidRDefault="00D42225">
            <w:pPr>
              <w:spacing w:line="256" w:lineRule="auto"/>
              <w:jc w:val="center"/>
              <w:rPr>
                <w:bCs/>
                <w:sz w:val="20"/>
                <w:szCs w:val="20"/>
                <w:lang w:val="ro-RO"/>
              </w:rPr>
            </w:pPr>
            <w:r w:rsidRPr="00866277">
              <w:rPr>
                <w:bCs/>
                <w:sz w:val="20"/>
                <w:szCs w:val="20"/>
                <w:lang w:val="ro-RO"/>
              </w:rPr>
              <w:t>14</w:t>
            </w:r>
          </w:p>
        </w:tc>
        <w:tc>
          <w:tcPr>
            <w:tcW w:w="853" w:type="dxa"/>
            <w:gridSpan w:val="3"/>
            <w:tcBorders>
              <w:top w:val="single" w:sz="4" w:space="0" w:color="auto"/>
              <w:left w:val="nil"/>
              <w:bottom w:val="single" w:sz="4" w:space="0" w:color="auto"/>
              <w:right w:val="single" w:sz="8" w:space="0" w:color="000000"/>
            </w:tcBorders>
            <w:hideMark/>
          </w:tcPr>
          <w:p w:rsidR="00D42225" w:rsidRPr="00866277" w:rsidRDefault="00D42225">
            <w:pPr>
              <w:spacing w:line="256" w:lineRule="auto"/>
              <w:jc w:val="center"/>
              <w:rPr>
                <w:bCs/>
                <w:sz w:val="20"/>
                <w:szCs w:val="20"/>
                <w:lang w:val="ro-RO"/>
              </w:rPr>
            </w:pPr>
            <w:r w:rsidRPr="00866277">
              <w:rPr>
                <w:bCs/>
                <w:sz w:val="20"/>
                <w:szCs w:val="20"/>
                <w:lang w:val="ro-RO"/>
              </w:rPr>
              <w:t>15</w:t>
            </w:r>
          </w:p>
        </w:tc>
        <w:tc>
          <w:tcPr>
            <w:tcW w:w="2126" w:type="dxa"/>
            <w:gridSpan w:val="7"/>
            <w:tcBorders>
              <w:top w:val="single" w:sz="4" w:space="0" w:color="auto"/>
              <w:left w:val="single" w:sz="8" w:space="0" w:color="000000"/>
              <w:bottom w:val="single" w:sz="4" w:space="0" w:color="auto"/>
              <w:right w:val="single" w:sz="4" w:space="0" w:color="auto"/>
            </w:tcBorders>
            <w:hideMark/>
          </w:tcPr>
          <w:p w:rsidR="00D42225" w:rsidRPr="00866277" w:rsidRDefault="00D42225">
            <w:pPr>
              <w:spacing w:line="256" w:lineRule="auto"/>
              <w:jc w:val="center"/>
              <w:rPr>
                <w:sz w:val="20"/>
                <w:szCs w:val="20"/>
                <w:lang w:val="ro-RO"/>
              </w:rPr>
            </w:pPr>
            <w:r w:rsidRPr="00866277">
              <w:rPr>
                <w:sz w:val="20"/>
                <w:szCs w:val="20"/>
                <w:lang w:val="ro-RO"/>
              </w:rPr>
              <w:t>16</w:t>
            </w:r>
          </w:p>
        </w:tc>
      </w:tr>
      <w:tr w:rsidR="00D42225" w:rsidRPr="00866277" w:rsidTr="006902D5">
        <w:trPr>
          <w:trHeight w:val="210"/>
          <w:jc w:val="center"/>
        </w:trPr>
        <w:tc>
          <w:tcPr>
            <w:tcW w:w="1415" w:type="dxa"/>
            <w:tcBorders>
              <w:top w:val="nil"/>
              <w:left w:val="single" w:sz="8" w:space="0" w:color="000000"/>
              <w:bottom w:val="single" w:sz="8" w:space="0" w:color="000000"/>
              <w:right w:val="single" w:sz="8" w:space="0" w:color="000000"/>
            </w:tcBorders>
            <w:hideMark/>
          </w:tcPr>
          <w:p w:rsidR="00D42225" w:rsidRPr="00866277" w:rsidRDefault="00D42225">
            <w:pPr>
              <w:spacing w:line="256" w:lineRule="auto"/>
              <w:rPr>
                <w:sz w:val="16"/>
                <w:szCs w:val="16"/>
                <w:lang w:val="ro-RO"/>
              </w:rPr>
            </w:pPr>
            <w:r w:rsidRPr="00866277">
              <w:rPr>
                <w:sz w:val="16"/>
                <w:szCs w:val="16"/>
                <w:lang w:val="ro-RO"/>
              </w:rPr>
              <w:t> </w:t>
            </w:r>
          </w:p>
        </w:tc>
        <w:tc>
          <w:tcPr>
            <w:tcW w:w="852" w:type="dxa"/>
            <w:tcBorders>
              <w:top w:val="nil"/>
              <w:left w:val="nil"/>
              <w:bottom w:val="single" w:sz="8" w:space="0" w:color="000000"/>
              <w:right w:val="single" w:sz="8" w:space="0" w:color="000000"/>
            </w:tcBorders>
            <w:hideMark/>
          </w:tcPr>
          <w:p w:rsidR="00D42225" w:rsidRPr="00866277" w:rsidRDefault="00D42225">
            <w:pPr>
              <w:spacing w:line="256" w:lineRule="auto"/>
              <w:jc w:val="center"/>
              <w:rPr>
                <w:sz w:val="20"/>
                <w:szCs w:val="20"/>
                <w:lang w:val="ro-RO"/>
              </w:rPr>
            </w:pPr>
            <w:r w:rsidRPr="00866277">
              <w:rPr>
                <w:sz w:val="20"/>
                <w:szCs w:val="20"/>
                <w:lang w:val="ro-RO"/>
              </w:rPr>
              <w:t> </w:t>
            </w:r>
          </w:p>
        </w:tc>
        <w:tc>
          <w:tcPr>
            <w:tcW w:w="850" w:type="dxa"/>
            <w:tcBorders>
              <w:top w:val="nil"/>
              <w:left w:val="nil"/>
              <w:bottom w:val="single" w:sz="8" w:space="0" w:color="000000"/>
              <w:right w:val="single" w:sz="8" w:space="0" w:color="000000"/>
            </w:tcBorders>
            <w:hideMark/>
          </w:tcPr>
          <w:p w:rsidR="00D42225" w:rsidRPr="00866277" w:rsidRDefault="00D42225">
            <w:pPr>
              <w:spacing w:line="256" w:lineRule="auto"/>
              <w:jc w:val="center"/>
              <w:rPr>
                <w:sz w:val="20"/>
                <w:szCs w:val="20"/>
                <w:lang w:val="ro-RO"/>
              </w:rPr>
            </w:pPr>
            <w:r w:rsidRPr="00866277">
              <w:rPr>
                <w:sz w:val="20"/>
                <w:szCs w:val="20"/>
                <w:lang w:val="ro-RO"/>
              </w:rPr>
              <w:t> </w:t>
            </w:r>
          </w:p>
        </w:tc>
        <w:tc>
          <w:tcPr>
            <w:tcW w:w="705" w:type="dxa"/>
            <w:tcBorders>
              <w:top w:val="nil"/>
              <w:left w:val="nil"/>
              <w:bottom w:val="single" w:sz="8" w:space="0" w:color="000000"/>
              <w:right w:val="single" w:sz="8" w:space="0" w:color="000000"/>
            </w:tcBorders>
            <w:hideMark/>
          </w:tcPr>
          <w:p w:rsidR="00D42225" w:rsidRPr="00866277" w:rsidRDefault="00D42225">
            <w:pPr>
              <w:spacing w:line="256" w:lineRule="auto"/>
              <w:jc w:val="center"/>
              <w:rPr>
                <w:sz w:val="20"/>
                <w:szCs w:val="20"/>
                <w:lang w:val="ro-RO"/>
              </w:rPr>
            </w:pPr>
            <w:r w:rsidRPr="00866277">
              <w:rPr>
                <w:sz w:val="20"/>
                <w:szCs w:val="20"/>
                <w:lang w:val="ro-RO"/>
              </w:rPr>
              <w:t> </w:t>
            </w:r>
          </w:p>
        </w:tc>
        <w:tc>
          <w:tcPr>
            <w:tcW w:w="854" w:type="dxa"/>
            <w:tcBorders>
              <w:top w:val="nil"/>
              <w:left w:val="nil"/>
              <w:bottom w:val="single" w:sz="8" w:space="0" w:color="000000"/>
              <w:right w:val="single" w:sz="8" w:space="0" w:color="000000"/>
            </w:tcBorders>
            <w:hideMark/>
          </w:tcPr>
          <w:p w:rsidR="00D42225" w:rsidRPr="00866277" w:rsidRDefault="00D42225">
            <w:pPr>
              <w:spacing w:line="256" w:lineRule="auto"/>
              <w:jc w:val="center"/>
              <w:rPr>
                <w:sz w:val="20"/>
                <w:szCs w:val="20"/>
                <w:lang w:val="ro-RO"/>
              </w:rPr>
            </w:pPr>
            <w:r w:rsidRPr="00866277">
              <w:rPr>
                <w:sz w:val="20"/>
                <w:szCs w:val="20"/>
                <w:lang w:val="ro-RO"/>
              </w:rPr>
              <w:t> </w:t>
            </w:r>
          </w:p>
        </w:tc>
        <w:tc>
          <w:tcPr>
            <w:tcW w:w="709" w:type="dxa"/>
            <w:tcBorders>
              <w:top w:val="nil"/>
              <w:left w:val="nil"/>
              <w:bottom w:val="single" w:sz="8" w:space="0" w:color="000000"/>
              <w:right w:val="single" w:sz="8" w:space="0" w:color="000000"/>
            </w:tcBorders>
            <w:hideMark/>
          </w:tcPr>
          <w:p w:rsidR="00D42225" w:rsidRPr="00866277" w:rsidRDefault="00D42225">
            <w:pPr>
              <w:spacing w:line="256" w:lineRule="auto"/>
              <w:jc w:val="center"/>
              <w:rPr>
                <w:sz w:val="20"/>
                <w:szCs w:val="20"/>
                <w:lang w:val="ro-RO"/>
              </w:rPr>
            </w:pPr>
            <w:r w:rsidRPr="00866277">
              <w:rPr>
                <w:sz w:val="20"/>
                <w:szCs w:val="20"/>
                <w:lang w:val="ro-RO"/>
              </w:rPr>
              <w:t> </w:t>
            </w:r>
          </w:p>
        </w:tc>
        <w:tc>
          <w:tcPr>
            <w:tcW w:w="850" w:type="dxa"/>
            <w:tcBorders>
              <w:top w:val="nil"/>
              <w:left w:val="nil"/>
              <w:bottom w:val="single" w:sz="8" w:space="0" w:color="000000"/>
              <w:right w:val="single" w:sz="8" w:space="0" w:color="000000"/>
            </w:tcBorders>
            <w:hideMark/>
          </w:tcPr>
          <w:p w:rsidR="00D42225" w:rsidRPr="00866277" w:rsidRDefault="00D42225">
            <w:pPr>
              <w:spacing w:line="256" w:lineRule="auto"/>
              <w:jc w:val="center"/>
              <w:rPr>
                <w:sz w:val="20"/>
                <w:szCs w:val="20"/>
                <w:lang w:val="ro-RO"/>
              </w:rPr>
            </w:pPr>
            <w:r w:rsidRPr="00866277">
              <w:rPr>
                <w:sz w:val="20"/>
                <w:szCs w:val="20"/>
                <w:lang w:val="ro-RO"/>
              </w:rPr>
              <w:t> </w:t>
            </w:r>
          </w:p>
        </w:tc>
        <w:tc>
          <w:tcPr>
            <w:tcW w:w="706" w:type="dxa"/>
            <w:tcBorders>
              <w:top w:val="nil"/>
              <w:left w:val="nil"/>
              <w:bottom w:val="single" w:sz="8" w:space="0" w:color="000000"/>
              <w:right w:val="single" w:sz="8" w:space="0" w:color="000000"/>
            </w:tcBorders>
            <w:hideMark/>
          </w:tcPr>
          <w:p w:rsidR="00D42225" w:rsidRPr="00866277" w:rsidRDefault="00D42225">
            <w:pPr>
              <w:spacing w:line="256" w:lineRule="auto"/>
              <w:jc w:val="center"/>
              <w:rPr>
                <w:sz w:val="20"/>
                <w:szCs w:val="20"/>
                <w:lang w:val="ro-RO"/>
              </w:rPr>
            </w:pPr>
            <w:r w:rsidRPr="00866277">
              <w:rPr>
                <w:sz w:val="20"/>
                <w:szCs w:val="20"/>
                <w:lang w:val="ro-RO"/>
              </w:rPr>
              <w:t> </w:t>
            </w:r>
          </w:p>
        </w:tc>
        <w:tc>
          <w:tcPr>
            <w:tcW w:w="709" w:type="dxa"/>
            <w:tcBorders>
              <w:top w:val="nil"/>
              <w:left w:val="nil"/>
              <w:bottom w:val="single" w:sz="8" w:space="0" w:color="000000"/>
              <w:right w:val="single" w:sz="8" w:space="0" w:color="000000"/>
            </w:tcBorders>
            <w:hideMark/>
          </w:tcPr>
          <w:p w:rsidR="00D42225" w:rsidRPr="00866277" w:rsidRDefault="00D42225">
            <w:pPr>
              <w:spacing w:line="256" w:lineRule="auto"/>
              <w:jc w:val="center"/>
              <w:rPr>
                <w:sz w:val="20"/>
                <w:szCs w:val="20"/>
                <w:lang w:val="ro-RO"/>
              </w:rPr>
            </w:pPr>
            <w:r w:rsidRPr="00866277">
              <w:rPr>
                <w:sz w:val="20"/>
                <w:szCs w:val="20"/>
                <w:lang w:val="ro-RO"/>
              </w:rPr>
              <w:t> </w:t>
            </w:r>
          </w:p>
        </w:tc>
        <w:tc>
          <w:tcPr>
            <w:tcW w:w="1134" w:type="dxa"/>
            <w:tcBorders>
              <w:top w:val="nil"/>
              <w:left w:val="nil"/>
              <w:bottom w:val="single" w:sz="8" w:space="0" w:color="000000"/>
              <w:right w:val="single" w:sz="8" w:space="0" w:color="000000"/>
            </w:tcBorders>
            <w:hideMark/>
          </w:tcPr>
          <w:p w:rsidR="00D42225" w:rsidRPr="00866277" w:rsidRDefault="00D42225">
            <w:pPr>
              <w:spacing w:line="256" w:lineRule="auto"/>
              <w:jc w:val="center"/>
              <w:rPr>
                <w:sz w:val="20"/>
                <w:szCs w:val="20"/>
                <w:lang w:val="ro-RO"/>
              </w:rPr>
            </w:pPr>
            <w:r w:rsidRPr="00866277">
              <w:rPr>
                <w:sz w:val="20"/>
                <w:szCs w:val="20"/>
                <w:lang w:val="ro-RO"/>
              </w:rPr>
              <w:t> </w:t>
            </w:r>
          </w:p>
        </w:tc>
        <w:tc>
          <w:tcPr>
            <w:tcW w:w="853" w:type="dxa"/>
            <w:tcBorders>
              <w:top w:val="nil"/>
              <w:left w:val="nil"/>
              <w:bottom w:val="single" w:sz="8" w:space="0" w:color="000000"/>
              <w:right w:val="single" w:sz="8" w:space="0" w:color="000000"/>
            </w:tcBorders>
            <w:hideMark/>
          </w:tcPr>
          <w:p w:rsidR="00D42225" w:rsidRPr="00866277" w:rsidRDefault="00D42225">
            <w:pPr>
              <w:spacing w:line="256" w:lineRule="auto"/>
              <w:jc w:val="center"/>
              <w:rPr>
                <w:sz w:val="20"/>
                <w:szCs w:val="20"/>
                <w:lang w:val="ro-RO"/>
              </w:rPr>
            </w:pPr>
            <w:r w:rsidRPr="00866277">
              <w:rPr>
                <w:sz w:val="20"/>
                <w:szCs w:val="20"/>
                <w:lang w:val="ro-RO"/>
              </w:rPr>
              <w:t> </w:t>
            </w:r>
          </w:p>
        </w:tc>
        <w:tc>
          <w:tcPr>
            <w:tcW w:w="992" w:type="dxa"/>
            <w:tcBorders>
              <w:top w:val="nil"/>
              <w:left w:val="nil"/>
              <w:bottom w:val="single" w:sz="8" w:space="0" w:color="000000"/>
              <w:right w:val="single" w:sz="8" w:space="0" w:color="000000"/>
            </w:tcBorders>
            <w:hideMark/>
          </w:tcPr>
          <w:p w:rsidR="00D42225" w:rsidRPr="00866277" w:rsidRDefault="00D42225">
            <w:pPr>
              <w:spacing w:line="256" w:lineRule="auto"/>
              <w:jc w:val="center"/>
              <w:rPr>
                <w:sz w:val="20"/>
                <w:szCs w:val="20"/>
                <w:lang w:val="ro-RO"/>
              </w:rPr>
            </w:pPr>
            <w:r w:rsidRPr="00866277">
              <w:rPr>
                <w:sz w:val="20"/>
                <w:szCs w:val="20"/>
                <w:lang w:val="ro-RO"/>
              </w:rPr>
              <w:t> </w:t>
            </w:r>
          </w:p>
        </w:tc>
        <w:tc>
          <w:tcPr>
            <w:tcW w:w="848" w:type="dxa"/>
            <w:tcBorders>
              <w:top w:val="nil"/>
              <w:left w:val="nil"/>
              <w:bottom w:val="single" w:sz="8" w:space="0" w:color="000000"/>
              <w:right w:val="single" w:sz="8" w:space="0" w:color="000000"/>
            </w:tcBorders>
            <w:hideMark/>
          </w:tcPr>
          <w:p w:rsidR="00D42225" w:rsidRPr="00866277" w:rsidRDefault="00D42225">
            <w:pPr>
              <w:spacing w:line="256" w:lineRule="auto"/>
              <w:jc w:val="center"/>
              <w:rPr>
                <w:sz w:val="20"/>
                <w:szCs w:val="20"/>
                <w:lang w:val="ro-RO"/>
              </w:rPr>
            </w:pPr>
            <w:r w:rsidRPr="00866277">
              <w:rPr>
                <w:sz w:val="20"/>
                <w:szCs w:val="20"/>
                <w:lang w:val="ro-RO"/>
              </w:rPr>
              <w:t> </w:t>
            </w:r>
          </w:p>
        </w:tc>
        <w:tc>
          <w:tcPr>
            <w:tcW w:w="567" w:type="dxa"/>
            <w:tcBorders>
              <w:top w:val="nil"/>
              <w:left w:val="nil"/>
              <w:bottom w:val="single" w:sz="8" w:space="0" w:color="000000"/>
              <w:right w:val="single" w:sz="8" w:space="0" w:color="000000"/>
            </w:tcBorders>
            <w:hideMark/>
          </w:tcPr>
          <w:p w:rsidR="00D42225" w:rsidRPr="00866277" w:rsidRDefault="00D42225">
            <w:pPr>
              <w:spacing w:line="256" w:lineRule="auto"/>
              <w:jc w:val="center"/>
              <w:rPr>
                <w:sz w:val="20"/>
                <w:szCs w:val="20"/>
                <w:lang w:val="ro-RO"/>
              </w:rPr>
            </w:pPr>
            <w:r w:rsidRPr="00866277">
              <w:rPr>
                <w:sz w:val="20"/>
                <w:szCs w:val="20"/>
                <w:lang w:val="ro-RO"/>
              </w:rPr>
              <w:t> </w:t>
            </w:r>
          </w:p>
        </w:tc>
        <w:tc>
          <w:tcPr>
            <w:tcW w:w="709" w:type="dxa"/>
            <w:tcBorders>
              <w:top w:val="nil"/>
              <w:left w:val="nil"/>
              <w:bottom w:val="single" w:sz="8" w:space="0" w:color="000000"/>
              <w:right w:val="single" w:sz="8" w:space="0" w:color="000000"/>
            </w:tcBorders>
            <w:hideMark/>
          </w:tcPr>
          <w:p w:rsidR="00D42225" w:rsidRPr="00866277" w:rsidRDefault="00D42225">
            <w:pPr>
              <w:spacing w:line="256" w:lineRule="auto"/>
              <w:jc w:val="center"/>
              <w:rPr>
                <w:sz w:val="20"/>
                <w:szCs w:val="20"/>
                <w:lang w:val="ro-RO"/>
              </w:rPr>
            </w:pPr>
            <w:r w:rsidRPr="00866277">
              <w:rPr>
                <w:sz w:val="20"/>
                <w:szCs w:val="20"/>
                <w:lang w:val="ro-RO"/>
              </w:rPr>
              <w:t> </w:t>
            </w:r>
          </w:p>
        </w:tc>
        <w:tc>
          <w:tcPr>
            <w:tcW w:w="853" w:type="dxa"/>
            <w:gridSpan w:val="3"/>
            <w:tcBorders>
              <w:top w:val="single" w:sz="4" w:space="0" w:color="auto"/>
              <w:left w:val="nil"/>
              <w:bottom w:val="single" w:sz="4" w:space="0" w:color="auto"/>
              <w:right w:val="single" w:sz="8" w:space="0" w:color="000000"/>
            </w:tcBorders>
            <w:hideMark/>
          </w:tcPr>
          <w:p w:rsidR="00D42225" w:rsidRPr="00866277" w:rsidRDefault="00D42225">
            <w:pPr>
              <w:spacing w:line="256" w:lineRule="auto"/>
              <w:jc w:val="center"/>
              <w:rPr>
                <w:sz w:val="20"/>
                <w:szCs w:val="20"/>
                <w:lang w:val="ro-RO"/>
              </w:rPr>
            </w:pPr>
            <w:r w:rsidRPr="00866277">
              <w:rPr>
                <w:sz w:val="20"/>
                <w:szCs w:val="20"/>
                <w:lang w:val="ro-RO"/>
              </w:rPr>
              <w:t> </w:t>
            </w:r>
          </w:p>
        </w:tc>
        <w:tc>
          <w:tcPr>
            <w:tcW w:w="2126" w:type="dxa"/>
            <w:gridSpan w:val="7"/>
            <w:tcBorders>
              <w:top w:val="single" w:sz="4" w:space="0" w:color="auto"/>
              <w:left w:val="single" w:sz="8" w:space="0" w:color="000000"/>
              <w:bottom w:val="single" w:sz="4" w:space="0" w:color="auto"/>
              <w:right w:val="single" w:sz="8" w:space="0" w:color="auto"/>
            </w:tcBorders>
            <w:hideMark/>
          </w:tcPr>
          <w:p w:rsidR="00D42225" w:rsidRPr="00866277" w:rsidRDefault="00D42225">
            <w:pPr>
              <w:spacing w:line="256" w:lineRule="auto"/>
              <w:rPr>
                <w:sz w:val="22"/>
                <w:szCs w:val="22"/>
                <w:lang w:val="ro-RO"/>
              </w:rPr>
            </w:pPr>
            <w:r w:rsidRPr="00866277">
              <w:rPr>
                <w:lang w:val="ro-RO"/>
              </w:rPr>
              <w:t> </w:t>
            </w:r>
          </w:p>
        </w:tc>
      </w:tr>
      <w:tr w:rsidR="006902D5" w:rsidRPr="00866277" w:rsidTr="00200FE1">
        <w:trPr>
          <w:trHeight w:val="960"/>
          <w:jc w:val="center"/>
        </w:trPr>
        <w:tc>
          <w:tcPr>
            <w:tcW w:w="1415" w:type="dxa"/>
            <w:tcBorders>
              <w:top w:val="nil"/>
              <w:left w:val="single" w:sz="8" w:space="0" w:color="000000"/>
              <w:bottom w:val="single" w:sz="4" w:space="0" w:color="auto"/>
              <w:right w:val="single" w:sz="8" w:space="0" w:color="000000"/>
            </w:tcBorders>
            <w:hideMark/>
          </w:tcPr>
          <w:p w:rsidR="006902D5" w:rsidRPr="00866277" w:rsidRDefault="006902D5" w:rsidP="006902D5">
            <w:pPr>
              <w:spacing w:line="256" w:lineRule="auto"/>
              <w:rPr>
                <w:b/>
                <w:bCs/>
                <w:sz w:val="16"/>
                <w:szCs w:val="16"/>
                <w:lang w:val="ro-RO"/>
              </w:rPr>
            </w:pPr>
            <w:r w:rsidRPr="00866277">
              <w:rPr>
                <w:b/>
                <w:bCs/>
                <w:sz w:val="16"/>
                <w:szCs w:val="16"/>
                <w:lang w:val="ro-RO"/>
              </w:rPr>
              <w:t>Litigii privind protecția consumatorului</w:t>
            </w:r>
          </w:p>
        </w:tc>
        <w:tc>
          <w:tcPr>
            <w:tcW w:w="852" w:type="dxa"/>
            <w:tcBorders>
              <w:top w:val="nil"/>
              <w:left w:val="nil"/>
              <w:bottom w:val="single" w:sz="4" w:space="0" w:color="auto"/>
              <w:right w:val="single" w:sz="8" w:space="0" w:color="000000"/>
            </w:tcBorders>
            <w:vAlign w:val="center"/>
            <w:hideMark/>
          </w:tcPr>
          <w:p w:rsidR="006902D5" w:rsidRPr="00866277" w:rsidRDefault="006902D5" w:rsidP="006902D5">
            <w:pPr>
              <w:spacing w:line="256" w:lineRule="auto"/>
              <w:jc w:val="center"/>
              <w:rPr>
                <w:sz w:val="20"/>
                <w:szCs w:val="20"/>
                <w:lang w:val="ro-RO"/>
              </w:rPr>
            </w:pPr>
            <w:r w:rsidRPr="00866277">
              <w:rPr>
                <w:b/>
                <w:sz w:val="20"/>
                <w:szCs w:val="20"/>
                <w:lang w:val="ro-RO"/>
              </w:rPr>
              <w:t>125</w:t>
            </w:r>
          </w:p>
        </w:tc>
        <w:tc>
          <w:tcPr>
            <w:tcW w:w="850" w:type="dxa"/>
            <w:tcBorders>
              <w:top w:val="nil"/>
              <w:left w:val="nil"/>
              <w:bottom w:val="single" w:sz="4" w:space="0" w:color="auto"/>
              <w:right w:val="single" w:sz="8" w:space="0" w:color="000000"/>
            </w:tcBorders>
            <w:vAlign w:val="center"/>
            <w:hideMark/>
          </w:tcPr>
          <w:p w:rsidR="006902D5" w:rsidRPr="00866277" w:rsidRDefault="006902D5" w:rsidP="006902D5">
            <w:pPr>
              <w:spacing w:line="256" w:lineRule="auto"/>
              <w:jc w:val="center"/>
              <w:rPr>
                <w:sz w:val="20"/>
                <w:szCs w:val="20"/>
                <w:lang w:val="ro-RO"/>
              </w:rPr>
            </w:pPr>
            <w:r w:rsidRPr="00866277">
              <w:rPr>
                <w:b/>
                <w:sz w:val="20"/>
                <w:szCs w:val="20"/>
                <w:lang w:val="ro-RO"/>
              </w:rPr>
              <w:t>202</w:t>
            </w:r>
          </w:p>
        </w:tc>
        <w:tc>
          <w:tcPr>
            <w:tcW w:w="705" w:type="dxa"/>
            <w:tcBorders>
              <w:top w:val="nil"/>
              <w:left w:val="nil"/>
              <w:bottom w:val="single" w:sz="4" w:space="0" w:color="auto"/>
              <w:right w:val="single" w:sz="8" w:space="0" w:color="000000"/>
            </w:tcBorders>
            <w:vAlign w:val="center"/>
            <w:hideMark/>
          </w:tcPr>
          <w:p w:rsidR="006902D5" w:rsidRPr="00866277" w:rsidRDefault="006902D5" w:rsidP="006902D5">
            <w:pPr>
              <w:spacing w:line="256" w:lineRule="auto"/>
              <w:jc w:val="center"/>
              <w:rPr>
                <w:sz w:val="20"/>
                <w:szCs w:val="20"/>
                <w:lang w:val="ro-RO"/>
              </w:rPr>
            </w:pPr>
            <w:r w:rsidRPr="00866277">
              <w:rPr>
                <w:b/>
                <w:sz w:val="20"/>
                <w:szCs w:val="20"/>
                <w:lang w:val="ro-RO"/>
              </w:rPr>
              <w:t>103</w:t>
            </w:r>
          </w:p>
        </w:tc>
        <w:tc>
          <w:tcPr>
            <w:tcW w:w="854" w:type="dxa"/>
            <w:tcBorders>
              <w:top w:val="nil"/>
              <w:left w:val="nil"/>
              <w:bottom w:val="single" w:sz="4" w:space="0" w:color="auto"/>
              <w:right w:val="single" w:sz="8" w:space="0" w:color="000000"/>
            </w:tcBorders>
            <w:vAlign w:val="center"/>
            <w:hideMark/>
          </w:tcPr>
          <w:p w:rsidR="006902D5" w:rsidRPr="00866277" w:rsidRDefault="006902D5" w:rsidP="006902D5">
            <w:pPr>
              <w:spacing w:line="256" w:lineRule="auto"/>
              <w:jc w:val="center"/>
              <w:rPr>
                <w:sz w:val="20"/>
                <w:szCs w:val="20"/>
                <w:lang w:val="ro-RO"/>
              </w:rPr>
            </w:pPr>
            <w:r w:rsidRPr="00866277">
              <w:rPr>
                <w:b/>
                <w:sz w:val="20"/>
                <w:szCs w:val="20"/>
                <w:lang w:val="ro-RO"/>
              </w:rPr>
              <w:t>71</w:t>
            </w:r>
          </w:p>
        </w:tc>
        <w:tc>
          <w:tcPr>
            <w:tcW w:w="709" w:type="dxa"/>
            <w:tcBorders>
              <w:top w:val="nil"/>
              <w:left w:val="nil"/>
              <w:bottom w:val="single" w:sz="4" w:space="0" w:color="auto"/>
              <w:right w:val="single" w:sz="8" w:space="0" w:color="000000"/>
            </w:tcBorders>
            <w:vAlign w:val="center"/>
            <w:hideMark/>
          </w:tcPr>
          <w:p w:rsidR="006902D5" w:rsidRPr="00866277" w:rsidRDefault="006902D5" w:rsidP="006902D5">
            <w:pPr>
              <w:spacing w:line="256" w:lineRule="auto"/>
              <w:jc w:val="center"/>
              <w:rPr>
                <w:sz w:val="20"/>
                <w:szCs w:val="20"/>
                <w:lang w:val="ro-RO"/>
              </w:rPr>
            </w:pPr>
            <w:r w:rsidRPr="00866277">
              <w:rPr>
                <w:b/>
                <w:sz w:val="20"/>
                <w:szCs w:val="20"/>
                <w:lang w:val="ro-RO"/>
              </w:rPr>
              <w:t>54</w:t>
            </w:r>
          </w:p>
        </w:tc>
        <w:tc>
          <w:tcPr>
            <w:tcW w:w="850" w:type="dxa"/>
            <w:tcBorders>
              <w:top w:val="nil"/>
              <w:left w:val="nil"/>
              <w:bottom w:val="single" w:sz="4" w:space="0" w:color="auto"/>
              <w:right w:val="single" w:sz="8" w:space="0" w:color="000000"/>
            </w:tcBorders>
            <w:vAlign w:val="center"/>
            <w:hideMark/>
          </w:tcPr>
          <w:p w:rsidR="006902D5" w:rsidRPr="00866277" w:rsidRDefault="006902D5" w:rsidP="006902D5">
            <w:pPr>
              <w:spacing w:line="256" w:lineRule="auto"/>
              <w:jc w:val="center"/>
              <w:rPr>
                <w:sz w:val="20"/>
                <w:szCs w:val="20"/>
                <w:lang w:val="ro-RO"/>
              </w:rPr>
            </w:pPr>
            <w:r w:rsidRPr="00866277">
              <w:rPr>
                <w:b/>
                <w:sz w:val="20"/>
                <w:szCs w:val="20"/>
                <w:lang w:val="ro-RO"/>
              </w:rPr>
              <w:t>13</w:t>
            </w:r>
          </w:p>
        </w:tc>
        <w:tc>
          <w:tcPr>
            <w:tcW w:w="706" w:type="dxa"/>
            <w:tcBorders>
              <w:top w:val="nil"/>
              <w:left w:val="nil"/>
              <w:bottom w:val="single" w:sz="4" w:space="0" w:color="auto"/>
              <w:right w:val="single" w:sz="8" w:space="0" w:color="000000"/>
            </w:tcBorders>
            <w:vAlign w:val="center"/>
            <w:hideMark/>
          </w:tcPr>
          <w:p w:rsidR="006902D5" w:rsidRPr="00866277" w:rsidRDefault="006902D5" w:rsidP="006902D5">
            <w:pPr>
              <w:spacing w:line="256" w:lineRule="auto"/>
              <w:jc w:val="center"/>
              <w:rPr>
                <w:sz w:val="20"/>
                <w:szCs w:val="20"/>
                <w:lang w:val="ro-RO"/>
              </w:rPr>
            </w:pPr>
            <w:r w:rsidRPr="00866277">
              <w:rPr>
                <w:b/>
                <w:sz w:val="20"/>
                <w:szCs w:val="20"/>
                <w:lang w:val="ro-RO"/>
              </w:rPr>
              <w:t>19</w:t>
            </w:r>
          </w:p>
        </w:tc>
        <w:tc>
          <w:tcPr>
            <w:tcW w:w="709" w:type="dxa"/>
            <w:tcBorders>
              <w:top w:val="nil"/>
              <w:left w:val="nil"/>
              <w:bottom w:val="single" w:sz="4" w:space="0" w:color="auto"/>
              <w:right w:val="single" w:sz="8" w:space="0" w:color="000000"/>
            </w:tcBorders>
            <w:vAlign w:val="center"/>
            <w:hideMark/>
          </w:tcPr>
          <w:p w:rsidR="006902D5" w:rsidRPr="00866277" w:rsidRDefault="006902D5" w:rsidP="006902D5">
            <w:pPr>
              <w:spacing w:line="256" w:lineRule="auto"/>
              <w:jc w:val="center"/>
              <w:rPr>
                <w:sz w:val="20"/>
                <w:szCs w:val="20"/>
                <w:lang w:val="ro-RO"/>
              </w:rPr>
            </w:pPr>
            <w:r w:rsidRPr="00866277">
              <w:rPr>
                <w:b/>
                <w:sz w:val="20"/>
                <w:szCs w:val="20"/>
                <w:lang w:val="ro-RO"/>
              </w:rPr>
              <w:t>189</w:t>
            </w:r>
          </w:p>
        </w:tc>
        <w:tc>
          <w:tcPr>
            <w:tcW w:w="1134" w:type="dxa"/>
            <w:tcBorders>
              <w:top w:val="nil"/>
              <w:left w:val="nil"/>
              <w:bottom w:val="single" w:sz="4" w:space="0" w:color="auto"/>
              <w:right w:val="single" w:sz="8" w:space="0" w:color="000000"/>
            </w:tcBorders>
            <w:vAlign w:val="center"/>
            <w:hideMark/>
          </w:tcPr>
          <w:p w:rsidR="006902D5" w:rsidRPr="00866277" w:rsidRDefault="006902D5" w:rsidP="006902D5">
            <w:pPr>
              <w:spacing w:line="256" w:lineRule="auto"/>
              <w:jc w:val="center"/>
              <w:rPr>
                <w:sz w:val="20"/>
                <w:szCs w:val="20"/>
                <w:lang w:val="ro-RO"/>
              </w:rPr>
            </w:pPr>
            <w:r w:rsidRPr="00866277">
              <w:rPr>
                <w:b/>
                <w:sz w:val="20"/>
                <w:szCs w:val="20"/>
                <w:lang w:val="ro-RO"/>
              </w:rPr>
              <w:t>133</w:t>
            </w:r>
          </w:p>
        </w:tc>
        <w:tc>
          <w:tcPr>
            <w:tcW w:w="853" w:type="dxa"/>
            <w:tcBorders>
              <w:top w:val="nil"/>
              <w:left w:val="nil"/>
              <w:bottom w:val="single" w:sz="4" w:space="0" w:color="auto"/>
              <w:right w:val="single" w:sz="8" w:space="0" w:color="000000"/>
            </w:tcBorders>
            <w:vAlign w:val="center"/>
            <w:hideMark/>
          </w:tcPr>
          <w:p w:rsidR="006902D5" w:rsidRPr="00866277" w:rsidRDefault="006902D5" w:rsidP="006902D5">
            <w:pPr>
              <w:spacing w:line="256" w:lineRule="auto"/>
              <w:jc w:val="center"/>
              <w:rPr>
                <w:sz w:val="20"/>
                <w:szCs w:val="20"/>
                <w:lang w:val="ro-RO"/>
              </w:rPr>
            </w:pPr>
            <w:r w:rsidRPr="00866277">
              <w:rPr>
                <w:b/>
                <w:sz w:val="20"/>
                <w:szCs w:val="20"/>
                <w:lang w:val="ro-RO"/>
              </w:rPr>
              <w:t>0</w:t>
            </w:r>
          </w:p>
        </w:tc>
        <w:tc>
          <w:tcPr>
            <w:tcW w:w="992" w:type="dxa"/>
            <w:tcBorders>
              <w:top w:val="nil"/>
              <w:left w:val="nil"/>
              <w:bottom w:val="single" w:sz="4" w:space="0" w:color="auto"/>
              <w:right w:val="single" w:sz="8" w:space="0" w:color="000000"/>
            </w:tcBorders>
            <w:vAlign w:val="center"/>
            <w:hideMark/>
          </w:tcPr>
          <w:p w:rsidR="006902D5" w:rsidRPr="00866277" w:rsidRDefault="006902D5" w:rsidP="006902D5">
            <w:pPr>
              <w:spacing w:line="256" w:lineRule="auto"/>
              <w:jc w:val="center"/>
              <w:rPr>
                <w:sz w:val="20"/>
                <w:szCs w:val="20"/>
                <w:lang w:val="ro-RO"/>
              </w:rPr>
            </w:pPr>
            <w:r w:rsidRPr="00866277">
              <w:rPr>
                <w:b/>
                <w:sz w:val="20"/>
                <w:szCs w:val="20"/>
                <w:lang w:val="ro-RO"/>
              </w:rPr>
              <w:t>138</w:t>
            </w:r>
          </w:p>
        </w:tc>
        <w:tc>
          <w:tcPr>
            <w:tcW w:w="848" w:type="dxa"/>
            <w:tcBorders>
              <w:top w:val="nil"/>
              <w:left w:val="nil"/>
              <w:bottom w:val="single" w:sz="4" w:space="0" w:color="auto"/>
              <w:right w:val="single" w:sz="8" w:space="0" w:color="000000"/>
            </w:tcBorders>
            <w:vAlign w:val="center"/>
            <w:hideMark/>
          </w:tcPr>
          <w:p w:rsidR="006902D5" w:rsidRPr="00866277" w:rsidRDefault="006902D5" w:rsidP="006902D5">
            <w:pPr>
              <w:spacing w:line="256" w:lineRule="auto"/>
              <w:jc w:val="center"/>
              <w:rPr>
                <w:sz w:val="20"/>
                <w:szCs w:val="20"/>
                <w:lang w:val="ro-RO"/>
              </w:rPr>
            </w:pPr>
            <w:r w:rsidRPr="00866277">
              <w:rPr>
                <w:b/>
                <w:sz w:val="20"/>
                <w:szCs w:val="20"/>
                <w:lang w:val="ro-RO"/>
              </w:rPr>
              <w:t>13</w:t>
            </w:r>
          </w:p>
        </w:tc>
        <w:tc>
          <w:tcPr>
            <w:tcW w:w="567" w:type="dxa"/>
            <w:tcBorders>
              <w:top w:val="nil"/>
              <w:left w:val="nil"/>
              <w:bottom w:val="single" w:sz="4" w:space="0" w:color="auto"/>
              <w:right w:val="single" w:sz="8" w:space="0" w:color="000000"/>
            </w:tcBorders>
            <w:vAlign w:val="center"/>
            <w:hideMark/>
          </w:tcPr>
          <w:p w:rsidR="006902D5" w:rsidRPr="00866277" w:rsidRDefault="006902D5" w:rsidP="006902D5">
            <w:pPr>
              <w:spacing w:line="256" w:lineRule="auto"/>
              <w:jc w:val="center"/>
              <w:rPr>
                <w:sz w:val="20"/>
                <w:szCs w:val="20"/>
                <w:lang w:val="ro-RO"/>
              </w:rPr>
            </w:pPr>
            <w:r w:rsidRPr="00866277">
              <w:rPr>
                <w:b/>
                <w:sz w:val="20"/>
                <w:szCs w:val="20"/>
                <w:lang w:val="ro-RO"/>
              </w:rPr>
              <w:t>1</w:t>
            </w:r>
          </w:p>
        </w:tc>
        <w:tc>
          <w:tcPr>
            <w:tcW w:w="709" w:type="dxa"/>
            <w:tcBorders>
              <w:top w:val="nil"/>
              <w:left w:val="nil"/>
              <w:bottom w:val="single" w:sz="4" w:space="0" w:color="auto"/>
              <w:right w:val="single" w:sz="8" w:space="0" w:color="000000"/>
            </w:tcBorders>
            <w:vAlign w:val="center"/>
            <w:hideMark/>
          </w:tcPr>
          <w:p w:rsidR="006902D5" w:rsidRPr="00866277" w:rsidRDefault="006902D5" w:rsidP="006902D5">
            <w:pPr>
              <w:spacing w:line="256" w:lineRule="auto"/>
              <w:jc w:val="center"/>
              <w:rPr>
                <w:sz w:val="20"/>
                <w:szCs w:val="20"/>
                <w:lang w:val="ro-RO"/>
              </w:rPr>
            </w:pPr>
            <w:r w:rsidRPr="00866277">
              <w:rPr>
                <w:b/>
                <w:sz w:val="20"/>
                <w:szCs w:val="20"/>
                <w:lang w:val="ro-RO"/>
              </w:rPr>
              <w:t>4</w:t>
            </w:r>
          </w:p>
        </w:tc>
        <w:tc>
          <w:tcPr>
            <w:tcW w:w="853" w:type="dxa"/>
            <w:gridSpan w:val="3"/>
            <w:tcBorders>
              <w:top w:val="single" w:sz="4" w:space="0" w:color="auto"/>
              <w:left w:val="nil"/>
              <w:bottom w:val="single" w:sz="4" w:space="0" w:color="auto"/>
              <w:right w:val="single" w:sz="8" w:space="0" w:color="000000"/>
            </w:tcBorders>
            <w:vAlign w:val="center"/>
            <w:hideMark/>
          </w:tcPr>
          <w:p w:rsidR="006902D5" w:rsidRPr="00866277" w:rsidRDefault="006902D5" w:rsidP="006902D5">
            <w:pPr>
              <w:spacing w:line="256" w:lineRule="auto"/>
              <w:rPr>
                <w:sz w:val="20"/>
                <w:szCs w:val="20"/>
                <w:lang w:val="ro-RO"/>
              </w:rPr>
            </w:pPr>
            <w:r w:rsidRPr="00866277">
              <w:rPr>
                <w:b/>
                <w:sz w:val="20"/>
                <w:szCs w:val="20"/>
                <w:lang w:val="ro-RO"/>
              </w:rPr>
              <w:t>8482.02</w:t>
            </w:r>
          </w:p>
        </w:tc>
        <w:tc>
          <w:tcPr>
            <w:tcW w:w="2126" w:type="dxa"/>
            <w:gridSpan w:val="7"/>
            <w:tcBorders>
              <w:top w:val="single" w:sz="4" w:space="0" w:color="auto"/>
              <w:left w:val="single" w:sz="8" w:space="0" w:color="000000"/>
              <w:bottom w:val="single" w:sz="4" w:space="0" w:color="auto"/>
              <w:right w:val="single" w:sz="4" w:space="0" w:color="auto"/>
            </w:tcBorders>
            <w:vAlign w:val="center"/>
            <w:hideMark/>
          </w:tcPr>
          <w:p w:rsidR="006902D5" w:rsidRPr="00866277" w:rsidRDefault="006902D5" w:rsidP="006902D5">
            <w:pPr>
              <w:rPr>
                <w:b/>
                <w:sz w:val="18"/>
                <w:szCs w:val="18"/>
                <w:lang w:val="ro-RO"/>
              </w:rPr>
            </w:pPr>
            <w:r w:rsidRPr="00866277">
              <w:rPr>
                <w:b/>
                <w:sz w:val="18"/>
                <w:szCs w:val="18"/>
                <w:lang w:val="ro-RO"/>
              </w:rPr>
              <w:t>551002 lei;</w:t>
            </w:r>
          </w:p>
          <w:p w:rsidR="006902D5" w:rsidRPr="00866277" w:rsidRDefault="006902D5" w:rsidP="006902D5">
            <w:pPr>
              <w:spacing w:line="256" w:lineRule="auto"/>
              <w:rPr>
                <w:sz w:val="14"/>
                <w:szCs w:val="14"/>
                <w:lang w:val="ro-RO"/>
              </w:rPr>
            </w:pPr>
            <w:r w:rsidRPr="00866277">
              <w:rPr>
                <w:b/>
                <w:sz w:val="18"/>
                <w:szCs w:val="18"/>
                <w:lang w:val="ro-RO"/>
              </w:rPr>
              <w:t>21000 Euro</w:t>
            </w:r>
          </w:p>
        </w:tc>
      </w:tr>
    </w:tbl>
    <w:p w:rsidR="00D42225" w:rsidRPr="00866277" w:rsidRDefault="00D42225" w:rsidP="00D42225">
      <w:pPr>
        <w:jc w:val="both"/>
        <w:rPr>
          <w:rFonts w:eastAsiaTheme="minorHAnsi"/>
          <w:i/>
          <w:sz w:val="18"/>
          <w:szCs w:val="18"/>
          <w:lang w:val="ro-RO" w:eastAsia="en-US"/>
        </w:rPr>
      </w:pPr>
    </w:p>
    <w:p w:rsidR="00D42225" w:rsidRPr="00866277" w:rsidRDefault="00D42225" w:rsidP="00D42225">
      <w:pPr>
        <w:rPr>
          <w:rFonts w:eastAsia="Times New Roman"/>
          <w:lang w:val="ro-RO" w:eastAsia="ru-RU"/>
        </w:rPr>
      </w:pPr>
    </w:p>
    <w:p w:rsidR="0065583F" w:rsidRPr="00866277" w:rsidRDefault="0065583F" w:rsidP="00D21B0A">
      <w:pPr>
        <w:rPr>
          <w:lang w:val="ro-RO"/>
        </w:rPr>
      </w:pPr>
    </w:p>
    <w:p w:rsidR="00FF1BDD" w:rsidRPr="00866277" w:rsidRDefault="00FF1BDD" w:rsidP="00D21B0A">
      <w:pPr>
        <w:rPr>
          <w:lang w:val="ro-RO"/>
        </w:rPr>
      </w:pPr>
    </w:p>
    <w:p w:rsidR="00FF1BDD" w:rsidRPr="00866277" w:rsidRDefault="00FF1BDD" w:rsidP="00D21B0A">
      <w:pPr>
        <w:rPr>
          <w:lang w:val="ro-RO"/>
        </w:rPr>
      </w:pPr>
    </w:p>
    <w:p w:rsidR="00FF1BDD" w:rsidRPr="00866277" w:rsidRDefault="00FF1BDD" w:rsidP="00D21B0A">
      <w:pPr>
        <w:rPr>
          <w:lang w:val="ro-RO"/>
        </w:rPr>
      </w:pPr>
    </w:p>
    <w:p w:rsidR="00FF1BDD" w:rsidRPr="00866277" w:rsidRDefault="00FF1BDD" w:rsidP="00D21B0A">
      <w:pPr>
        <w:rPr>
          <w:lang w:val="ro-RO"/>
        </w:rPr>
      </w:pPr>
    </w:p>
    <w:p w:rsidR="00FF1BDD" w:rsidRPr="00866277" w:rsidRDefault="00FF1BDD" w:rsidP="00D21B0A">
      <w:pPr>
        <w:rPr>
          <w:lang w:val="ro-RO"/>
        </w:rPr>
      </w:pPr>
    </w:p>
    <w:p w:rsidR="00FF1BDD" w:rsidRPr="00866277" w:rsidRDefault="00FF1BDD" w:rsidP="00D21B0A">
      <w:pPr>
        <w:rPr>
          <w:lang w:val="ro-RO"/>
        </w:rPr>
      </w:pPr>
    </w:p>
    <w:p w:rsidR="00FF1BDD" w:rsidRPr="00866277" w:rsidRDefault="00FF1BDD" w:rsidP="00D21B0A">
      <w:pPr>
        <w:rPr>
          <w:lang w:val="ro-RO"/>
        </w:rPr>
      </w:pPr>
    </w:p>
    <w:p w:rsidR="00FF1BDD" w:rsidRPr="00866277" w:rsidRDefault="00FF1BDD" w:rsidP="00D21B0A">
      <w:pPr>
        <w:rPr>
          <w:lang w:val="ro-RO"/>
        </w:rPr>
      </w:pPr>
    </w:p>
    <w:p w:rsidR="00FF1BDD" w:rsidRPr="00866277" w:rsidRDefault="00FF1BDD" w:rsidP="00D21B0A">
      <w:pPr>
        <w:rPr>
          <w:lang w:val="ro-RO"/>
        </w:rPr>
      </w:pPr>
    </w:p>
    <w:p w:rsidR="00FF1BDD" w:rsidRPr="00866277" w:rsidRDefault="00FF1BDD" w:rsidP="00D21B0A">
      <w:pPr>
        <w:rPr>
          <w:lang w:val="ro-RO"/>
        </w:rPr>
      </w:pPr>
    </w:p>
    <w:p w:rsidR="00FF1BDD" w:rsidRPr="00866277" w:rsidRDefault="00FF1BDD" w:rsidP="00D21B0A">
      <w:pPr>
        <w:rPr>
          <w:lang w:val="ro-RO"/>
        </w:rPr>
      </w:pPr>
    </w:p>
    <w:sectPr w:rsidR="00FF1BDD" w:rsidRPr="00866277" w:rsidSect="00FA03A4">
      <w:pgSz w:w="16838" w:h="11906" w:orient="landscape" w:code="9"/>
      <w:pgMar w:top="850" w:right="562" w:bottom="850" w:left="533"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E64" w:rsidRDefault="00CA5E64" w:rsidP="00942B04">
      <w:r>
        <w:separator/>
      </w:r>
    </w:p>
  </w:endnote>
  <w:endnote w:type="continuationSeparator" w:id="0">
    <w:p w:rsidR="00CA5E64" w:rsidRDefault="00CA5E64" w:rsidP="0094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925403"/>
      <w:docPartObj>
        <w:docPartGallery w:val="Page Numbers (Bottom of Page)"/>
        <w:docPartUnique/>
      </w:docPartObj>
    </w:sdtPr>
    <w:sdtEndPr>
      <w:rPr>
        <w:noProof/>
      </w:rPr>
    </w:sdtEndPr>
    <w:sdtContent>
      <w:p w:rsidR="00537BE6" w:rsidRDefault="00537BE6">
        <w:pPr>
          <w:pStyle w:val="Footer"/>
          <w:jc w:val="right"/>
        </w:pPr>
        <w:r>
          <w:fldChar w:fldCharType="begin"/>
        </w:r>
        <w:r>
          <w:instrText xml:space="preserve"> PAGE   \* MERGEFORMAT </w:instrText>
        </w:r>
        <w:r>
          <w:fldChar w:fldCharType="separate"/>
        </w:r>
        <w:r w:rsidR="004338BD">
          <w:rPr>
            <w:noProof/>
          </w:rPr>
          <w:t>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E64" w:rsidRDefault="00CA5E64" w:rsidP="00942B04">
      <w:r>
        <w:separator/>
      </w:r>
    </w:p>
  </w:footnote>
  <w:footnote w:type="continuationSeparator" w:id="0">
    <w:p w:rsidR="00CA5E64" w:rsidRDefault="00CA5E64" w:rsidP="00942B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9782C"/>
    <w:multiLevelType w:val="hybridMultilevel"/>
    <w:tmpl w:val="4632812A"/>
    <w:lvl w:ilvl="0" w:tplc="B3FC589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A0CA1"/>
    <w:multiLevelType w:val="hybridMultilevel"/>
    <w:tmpl w:val="7F6A876C"/>
    <w:lvl w:ilvl="0" w:tplc="536491C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821604"/>
    <w:multiLevelType w:val="hybridMultilevel"/>
    <w:tmpl w:val="9C90E8AE"/>
    <w:lvl w:ilvl="0" w:tplc="08090011">
      <w:start w:val="1"/>
      <w:numFmt w:val="decimal"/>
      <w:lvlText w:val="%1)"/>
      <w:lvlJc w:val="left"/>
      <w:pPr>
        <w:ind w:left="5850" w:hanging="360"/>
      </w:pPr>
    </w:lvl>
    <w:lvl w:ilvl="1" w:tplc="08090019" w:tentative="1">
      <w:start w:val="1"/>
      <w:numFmt w:val="lowerLetter"/>
      <w:lvlText w:val="%2."/>
      <w:lvlJc w:val="left"/>
      <w:pPr>
        <w:ind w:left="6570" w:hanging="360"/>
      </w:pPr>
    </w:lvl>
    <w:lvl w:ilvl="2" w:tplc="0809001B" w:tentative="1">
      <w:start w:val="1"/>
      <w:numFmt w:val="lowerRoman"/>
      <w:lvlText w:val="%3."/>
      <w:lvlJc w:val="right"/>
      <w:pPr>
        <w:ind w:left="7290" w:hanging="180"/>
      </w:pPr>
    </w:lvl>
    <w:lvl w:ilvl="3" w:tplc="0809000F" w:tentative="1">
      <w:start w:val="1"/>
      <w:numFmt w:val="decimal"/>
      <w:lvlText w:val="%4."/>
      <w:lvlJc w:val="left"/>
      <w:pPr>
        <w:ind w:left="8010" w:hanging="360"/>
      </w:pPr>
    </w:lvl>
    <w:lvl w:ilvl="4" w:tplc="08090019" w:tentative="1">
      <w:start w:val="1"/>
      <w:numFmt w:val="lowerLetter"/>
      <w:lvlText w:val="%5."/>
      <w:lvlJc w:val="left"/>
      <w:pPr>
        <w:ind w:left="8730" w:hanging="360"/>
      </w:pPr>
    </w:lvl>
    <w:lvl w:ilvl="5" w:tplc="0809001B" w:tentative="1">
      <w:start w:val="1"/>
      <w:numFmt w:val="lowerRoman"/>
      <w:lvlText w:val="%6."/>
      <w:lvlJc w:val="right"/>
      <w:pPr>
        <w:ind w:left="9450" w:hanging="180"/>
      </w:pPr>
    </w:lvl>
    <w:lvl w:ilvl="6" w:tplc="0809000F" w:tentative="1">
      <w:start w:val="1"/>
      <w:numFmt w:val="decimal"/>
      <w:lvlText w:val="%7."/>
      <w:lvlJc w:val="left"/>
      <w:pPr>
        <w:ind w:left="10170" w:hanging="360"/>
      </w:pPr>
    </w:lvl>
    <w:lvl w:ilvl="7" w:tplc="08090019" w:tentative="1">
      <w:start w:val="1"/>
      <w:numFmt w:val="lowerLetter"/>
      <w:lvlText w:val="%8."/>
      <w:lvlJc w:val="left"/>
      <w:pPr>
        <w:ind w:left="10890" w:hanging="360"/>
      </w:pPr>
    </w:lvl>
    <w:lvl w:ilvl="8" w:tplc="0809001B" w:tentative="1">
      <w:start w:val="1"/>
      <w:numFmt w:val="lowerRoman"/>
      <w:lvlText w:val="%9."/>
      <w:lvlJc w:val="right"/>
      <w:pPr>
        <w:ind w:left="11610" w:hanging="180"/>
      </w:pPr>
    </w:lvl>
  </w:abstractNum>
  <w:abstractNum w:abstractNumId="3" w15:restartNumberingAfterBreak="0">
    <w:nsid w:val="105D7A23"/>
    <w:multiLevelType w:val="hybridMultilevel"/>
    <w:tmpl w:val="2486B4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4A5824"/>
    <w:multiLevelType w:val="hybridMultilevel"/>
    <w:tmpl w:val="BF16686C"/>
    <w:lvl w:ilvl="0" w:tplc="237C8D92">
      <w:start w:val="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5" w15:restartNumberingAfterBreak="0">
    <w:nsid w:val="1A6E2799"/>
    <w:multiLevelType w:val="hybridMultilevel"/>
    <w:tmpl w:val="C5B655B4"/>
    <w:lvl w:ilvl="0" w:tplc="E8AE1338">
      <w:start w:val="3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7F1E3A"/>
    <w:multiLevelType w:val="hybridMultilevel"/>
    <w:tmpl w:val="7D3E4D14"/>
    <w:lvl w:ilvl="0" w:tplc="E8AE1338">
      <w:start w:val="30"/>
      <w:numFmt w:val="bullet"/>
      <w:lvlText w:val="-"/>
      <w:lvlJc w:val="left"/>
      <w:pPr>
        <w:ind w:left="720" w:hanging="360"/>
      </w:pPr>
      <w:rPr>
        <w:rFonts w:ascii="Times New Roman" w:eastAsia="Times New Roman" w:hAnsi="Times New Roman" w:cs="Times New Roman" w:hint="default"/>
      </w:rPr>
    </w:lvl>
    <w:lvl w:ilvl="1" w:tplc="E8AE1338">
      <w:start w:val="3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B43B3"/>
    <w:multiLevelType w:val="hybridMultilevel"/>
    <w:tmpl w:val="F85ED392"/>
    <w:lvl w:ilvl="0" w:tplc="81841C72">
      <w:start w:val="3"/>
      <w:numFmt w:val="bullet"/>
      <w:lvlText w:val="-"/>
      <w:lvlJc w:val="left"/>
      <w:pPr>
        <w:ind w:left="720" w:hanging="360"/>
      </w:pPr>
      <w:rPr>
        <w:rFonts w:ascii="Times New Roman" w:eastAsia="Calibri" w:hAnsi="Times New Roman" w:cs="Times New Roman" w:hint="default"/>
        <w:b/>
        <w:color w:val="7030A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083EAB"/>
    <w:multiLevelType w:val="hybridMultilevel"/>
    <w:tmpl w:val="57C81204"/>
    <w:lvl w:ilvl="0" w:tplc="536491C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A071B2"/>
    <w:multiLevelType w:val="hybridMultilevel"/>
    <w:tmpl w:val="58925934"/>
    <w:lvl w:ilvl="0" w:tplc="79E60BB8">
      <w:start w:val="1"/>
      <w:numFmt w:val="bullet"/>
      <w:lvlText w:val=""/>
      <w:lvlJc w:val="left"/>
      <w:pPr>
        <w:ind w:left="720" w:hanging="360"/>
      </w:pPr>
      <w:rPr>
        <w:rFonts w:ascii="Symbol" w:hAnsi="Symbol" w:hint="default"/>
        <w:sz w:val="14"/>
        <w:szCs w:val="1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218770F6"/>
    <w:multiLevelType w:val="hybridMultilevel"/>
    <w:tmpl w:val="25E4EC80"/>
    <w:lvl w:ilvl="0" w:tplc="AD762450">
      <w:start w:val="5"/>
      <w:numFmt w:val="bullet"/>
      <w:lvlText w:val="-"/>
      <w:lvlJc w:val="left"/>
      <w:pPr>
        <w:ind w:left="502" w:hanging="360"/>
      </w:pPr>
      <w:rPr>
        <w:rFonts w:ascii="Times New Roman" w:eastAsia="Calibri" w:hAnsi="Times New Roman" w:cs="Times New Roman" w:hint="default"/>
        <w:i/>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1" w15:restartNumberingAfterBreak="0">
    <w:nsid w:val="27471931"/>
    <w:multiLevelType w:val="hybridMultilevel"/>
    <w:tmpl w:val="60A0705E"/>
    <w:lvl w:ilvl="0" w:tplc="56E6180C">
      <w:numFmt w:val="bullet"/>
      <w:lvlText w:val="-"/>
      <w:lvlJc w:val="left"/>
      <w:pPr>
        <w:ind w:left="786" w:hanging="360"/>
      </w:pPr>
      <w:rPr>
        <w:rFonts w:ascii="Times New Roman" w:eastAsiaTheme="minorHAnsi" w:hAnsi="Times New Roman" w:cs="Times New Roman" w:hint="default"/>
      </w:rPr>
    </w:lvl>
    <w:lvl w:ilvl="1" w:tplc="04180003">
      <w:start w:val="1"/>
      <w:numFmt w:val="bullet"/>
      <w:lvlText w:val="o"/>
      <w:lvlJc w:val="left"/>
      <w:pPr>
        <w:ind w:left="1506" w:hanging="360"/>
      </w:pPr>
      <w:rPr>
        <w:rFonts w:ascii="Courier New" w:hAnsi="Courier New" w:cs="Courier New" w:hint="default"/>
      </w:rPr>
    </w:lvl>
    <w:lvl w:ilvl="2" w:tplc="04180005">
      <w:start w:val="1"/>
      <w:numFmt w:val="bullet"/>
      <w:lvlText w:val=""/>
      <w:lvlJc w:val="left"/>
      <w:pPr>
        <w:ind w:left="2226" w:hanging="360"/>
      </w:pPr>
      <w:rPr>
        <w:rFonts w:ascii="Wingdings" w:hAnsi="Wingdings" w:hint="default"/>
      </w:rPr>
    </w:lvl>
    <w:lvl w:ilvl="3" w:tplc="04180001">
      <w:start w:val="1"/>
      <w:numFmt w:val="bullet"/>
      <w:lvlText w:val=""/>
      <w:lvlJc w:val="left"/>
      <w:pPr>
        <w:ind w:left="2946" w:hanging="360"/>
      </w:pPr>
      <w:rPr>
        <w:rFonts w:ascii="Symbol" w:hAnsi="Symbol" w:hint="default"/>
      </w:rPr>
    </w:lvl>
    <w:lvl w:ilvl="4" w:tplc="04180003">
      <w:start w:val="1"/>
      <w:numFmt w:val="bullet"/>
      <w:lvlText w:val="o"/>
      <w:lvlJc w:val="left"/>
      <w:pPr>
        <w:ind w:left="3666" w:hanging="360"/>
      </w:pPr>
      <w:rPr>
        <w:rFonts w:ascii="Courier New" w:hAnsi="Courier New" w:cs="Courier New" w:hint="default"/>
      </w:rPr>
    </w:lvl>
    <w:lvl w:ilvl="5" w:tplc="04180005">
      <w:start w:val="1"/>
      <w:numFmt w:val="bullet"/>
      <w:lvlText w:val=""/>
      <w:lvlJc w:val="left"/>
      <w:pPr>
        <w:ind w:left="4386" w:hanging="360"/>
      </w:pPr>
      <w:rPr>
        <w:rFonts w:ascii="Wingdings" w:hAnsi="Wingdings" w:hint="default"/>
      </w:rPr>
    </w:lvl>
    <w:lvl w:ilvl="6" w:tplc="04180001">
      <w:start w:val="1"/>
      <w:numFmt w:val="bullet"/>
      <w:lvlText w:val=""/>
      <w:lvlJc w:val="left"/>
      <w:pPr>
        <w:ind w:left="5106" w:hanging="360"/>
      </w:pPr>
      <w:rPr>
        <w:rFonts w:ascii="Symbol" w:hAnsi="Symbol" w:hint="default"/>
      </w:rPr>
    </w:lvl>
    <w:lvl w:ilvl="7" w:tplc="04180003">
      <w:start w:val="1"/>
      <w:numFmt w:val="bullet"/>
      <w:lvlText w:val="o"/>
      <w:lvlJc w:val="left"/>
      <w:pPr>
        <w:ind w:left="5826" w:hanging="360"/>
      </w:pPr>
      <w:rPr>
        <w:rFonts w:ascii="Courier New" w:hAnsi="Courier New" w:cs="Courier New" w:hint="default"/>
      </w:rPr>
    </w:lvl>
    <w:lvl w:ilvl="8" w:tplc="04180005">
      <w:start w:val="1"/>
      <w:numFmt w:val="bullet"/>
      <w:lvlText w:val=""/>
      <w:lvlJc w:val="left"/>
      <w:pPr>
        <w:ind w:left="6546" w:hanging="360"/>
      </w:pPr>
      <w:rPr>
        <w:rFonts w:ascii="Wingdings" w:hAnsi="Wingdings" w:hint="default"/>
      </w:rPr>
    </w:lvl>
  </w:abstractNum>
  <w:abstractNum w:abstractNumId="12" w15:restartNumberingAfterBreak="0">
    <w:nsid w:val="2B6620DB"/>
    <w:multiLevelType w:val="hybridMultilevel"/>
    <w:tmpl w:val="69F0B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BE26F4"/>
    <w:multiLevelType w:val="hybridMultilevel"/>
    <w:tmpl w:val="49AA82E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0C77150"/>
    <w:multiLevelType w:val="hybridMultilevel"/>
    <w:tmpl w:val="C2E45678"/>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5" w15:restartNumberingAfterBreak="0">
    <w:nsid w:val="35F23244"/>
    <w:multiLevelType w:val="hybridMultilevel"/>
    <w:tmpl w:val="29388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F86F64"/>
    <w:multiLevelType w:val="hybridMultilevel"/>
    <w:tmpl w:val="98928758"/>
    <w:lvl w:ilvl="0" w:tplc="AEF0D4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C45801"/>
    <w:multiLevelType w:val="hybridMultilevel"/>
    <w:tmpl w:val="F2B24422"/>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8F1FE6"/>
    <w:multiLevelType w:val="hybridMultilevel"/>
    <w:tmpl w:val="CE0C4306"/>
    <w:lvl w:ilvl="0" w:tplc="237C8D92">
      <w:start w:val="4"/>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9" w15:restartNumberingAfterBreak="0">
    <w:nsid w:val="51DC3C04"/>
    <w:multiLevelType w:val="hybridMultilevel"/>
    <w:tmpl w:val="438A557C"/>
    <w:lvl w:ilvl="0" w:tplc="040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4D0075"/>
    <w:multiLevelType w:val="hybridMultilevel"/>
    <w:tmpl w:val="7CA43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A2501EC"/>
    <w:multiLevelType w:val="hybridMultilevel"/>
    <w:tmpl w:val="261C450A"/>
    <w:lvl w:ilvl="0" w:tplc="A1C46A3E">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C735EE4"/>
    <w:multiLevelType w:val="hybridMultilevel"/>
    <w:tmpl w:val="1BD652C2"/>
    <w:lvl w:ilvl="0" w:tplc="56E6180C">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62B8710F"/>
    <w:multiLevelType w:val="hybridMultilevel"/>
    <w:tmpl w:val="5C967D92"/>
    <w:lvl w:ilvl="0" w:tplc="040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5E84C67"/>
    <w:multiLevelType w:val="hybridMultilevel"/>
    <w:tmpl w:val="9A88CD8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66A3137"/>
    <w:multiLevelType w:val="hybridMultilevel"/>
    <w:tmpl w:val="AE44EE06"/>
    <w:lvl w:ilvl="0" w:tplc="56E6180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6F761FE"/>
    <w:multiLevelType w:val="hybridMultilevel"/>
    <w:tmpl w:val="24A084B4"/>
    <w:lvl w:ilvl="0" w:tplc="7EAE72D2">
      <w:numFmt w:val="bullet"/>
      <w:lvlText w:val="-"/>
      <w:lvlJc w:val="left"/>
      <w:pPr>
        <w:ind w:left="954" w:hanging="145"/>
      </w:pPr>
      <w:rPr>
        <w:rFonts w:hint="default"/>
        <w:w w:val="91"/>
        <w:lang w:val="ro-RO" w:eastAsia="ro-RO" w:bidi="ro-RO"/>
      </w:rPr>
    </w:lvl>
    <w:lvl w:ilvl="1" w:tplc="697AE956">
      <w:numFmt w:val="bullet"/>
      <w:lvlText w:val="•"/>
      <w:lvlJc w:val="left"/>
      <w:pPr>
        <w:ind w:left="1120" w:hanging="145"/>
      </w:pPr>
      <w:rPr>
        <w:rFonts w:hint="default"/>
        <w:lang w:val="ro-RO" w:eastAsia="ro-RO" w:bidi="ro-RO"/>
      </w:rPr>
    </w:lvl>
    <w:lvl w:ilvl="2" w:tplc="193A2366">
      <w:numFmt w:val="bullet"/>
      <w:lvlText w:val="•"/>
      <w:lvlJc w:val="left"/>
      <w:pPr>
        <w:ind w:left="2164" w:hanging="145"/>
      </w:pPr>
      <w:rPr>
        <w:rFonts w:hint="default"/>
        <w:lang w:val="ro-RO" w:eastAsia="ro-RO" w:bidi="ro-RO"/>
      </w:rPr>
    </w:lvl>
    <w:lvl w:ilvl="3" w:tplc="4796A1D0">
      <w:numFmt w:val="bullet"/>
      <w:lvlText w:val="•"/>
      <w:lvlJc w:val="left"/>
      <w:pPr>
        <w:ind w:left="3208" w:hanging="145"/>
      </w:pPr>
      <w:rPr>
        <w:rFonts w:hint="default"/>
        <w:lang w:val="ro-RO" w:eastAsia="ro-RO" w:bidi="ro-RO"/>
      </w:rPr>
    </w:lvl>
    <w:lvl w:ilvl="4" w:tplc="3962AE1C">
      <w:numFmt w:val="bullet"/>
      <w:lvlText w:val="•"/>
      <w:lvlJc w:val="left"/>
      <w:pPr>
        <w:ind w:left="4253" w:hanging="145"/>
      </w:pPr>
      <w:rPr>
        <w:rFonts w:hint="default"/>
        <w:lang w:val="ro-RO" w:eastAsia="ro-RO" w:bidi="ro-RO"/>
      </w:rPr>
    </w:lvl>
    <w:lvl w:ilvl="5" w:tplc="DB280672">
      <w:numFmt w:val="bullet"/>
      <w:lvlText w:val="•"/>
      <w:lvlJc w:val="left"/>
      <w:pPr>
        <w:ind w:left="5297" w:hanging="145"/>
      </w:pPr>
      <w:rPr>
        <w:rFonts w:hint="default"/>
        <w:lang w:val="ro-RO" w:eastAsia="ro-RO" w:bidi="ro-RO"/>
      </w:rPr>
    </w:lvl>
    <w:lvl w:ilvl="6" w:tplc="7D9C2AAA">
      <w:numFmt w:val="bullet"/>
      <w:lvlText w:val="•"/>
      <w:lvlJc w:val="left"/>
      <w:pPr>
        <w:ind w:left="6342" w:hanging="145"/>
      </w:pPr>
      <w:rPr>
        <w:rFonts w:hint="default"/>
        <w:lang w:val="ro-RO" w:eastAsia="ro-RO" w:bidi="ro-RO"/>
      </w:rPr>
    </w:lvl>
    <w:lvl w:ilvl="7" w:tplc="166819C4">
      <w:numFmt w:val="bullet"/>
      <w:lvlText w:val="•"/>
      <w:lvlJc w:val="left"/>
      <w:pPr>
        <w:ind w:left="7386" w:hanging="145"/>
      </w:pPr>
      <w:rPr>
        <w:rFonts w:hint="default"/>
        <w:lang w:val="ro-RO" w:eastAsia="ro-RO" w:bidi="ro-RO"/>
      </w:rPr>
    </w:lvl>
    <w:lvl w:ilvl="8" w:tplc="BC4EB174">
      <w:numFmt w:val="bullet"/>
      <w:lvlText w:val="•"/>
      <w:lvlJc w:val="left"/>
      <w:pPr>
        <w:ind w:left="8431" w:hanging="145"/>
      </w:pPr>
      <w:rPr>
        <w:rFonts w:hint="default"/>
        <w:lang w:val="ro-RO" w:eastAsia="ro-RO" w:bidi="ro-RO"/>
      </w:rPr>
    </w:lvl>
  </w:abstractNum>
  <w:abstractNum w:abstractNumId="27" w15:restartNumberingAfterBreak="0">
    <w:nsid w:val="731A6DCC"/>
    <w:multiLevelType w:val="multilevel"/>
    <w:tmpl w:val="D1427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CB5926"/>
    <w:multiLevelType w:val="hybridMultilevel"/>
    <w:tmpl w:val="B9769ABC"/>
    <w:lvl w:ilvl="0" w:tplc="A23EB174">
      <w:start w:val="1"/>
      <w:numFmt w:val="bullet"/>
      <w:lvlText w:val=""/>
      <w:lvlJc w:val="left"/>
      <w:pPr>
        <w:tabs>
          <w:tab w:val="num" w:pos="720"/>
        </w:tabs>
        <w:ind w:left="720" w:hanging="360"/>
      </w:pPr>
      <w:rPr>
        <w:rFonts w:ascii="Wingdings 3" w:hAnsi="Wingdings 3" w:hint="default"/>
      </w:rPr>
    </w:lvl>
    <w:lvl w:ilvl="1" w:tplc="3908625C" w:tentative="1">
      <w:start w:val="1"/>
      <w:numFmt w:val="bullet"/>
      <w:lvlText w:val=""/>
      <w:lvlJc w:val="left"/>
      <w:pPr>
        <w:tabs>
          <w:tab w:val="num" w:pos="1440"/>
        </w:tabs>
        <w:ind w:left="1440" w:hanging="360"/>
      </w:pPr>
      <w:rPr>
        <w:rFonts w:ascii="Wingdings 3" w:hAnsi="Wingdings 3" w:hint="default"/>
      </w:rPr>
    </w:lvl>
    <w:lvl w:ilvl="2" w:tplc="D5023D54" w:tentative="1">
      <w:start w:val="1"/>
      <w:numFmt w:val="bullet"/>
      <w:lvlText w:val=""/>
      <w:lvlJc w:val="left"/>
      <w:pPr>
        <w:tabs>
          <w:tab w:val="num" w:pos="2160"/>
        </w:tabs>
        <w:ind w:left="2160" w:hanging="360"/>
      </w:pPr>
      <w:rPr>
        <w:rFonts w:ascii="Wingdings 3" w:hAnsi="Wingdings 3" w:hint="default"/>
      </w:rPr>
    </w:lvl>
    <w:lvl w:ilvl="3" w:tplc="25441DE4" w:tentative="1">
      <w:start w:val="1"/>
      <w:numFmt w:val="bullet"/>
      <w:lvlText w:val=""/>
      <w:lvlJc w:val="left"/>
      <w:pPr>
        <w:tabs>
          <w:tab w:val="num" w:pos="2880"/>
        </w:tabs>
        <w:ind w:left="2880" w:hanging="360"/>
      </w:pPr>
      <w:rPr>
        <w:rFonts w:ascii="Wingdings 3" w:hAnsi="Wingdings 3" w:hint="default"/>
      </w:rPr>
    </w:lvl>
    <w:lvl w:ilvl="4" w:tplc="1EECAB10" w:tentative="1">
      <w:start w:val="1"/>
      <w:numFmt w:val="bullet"/>
      <w:lvlText w:val=""/>
      <w:lvlJc w:val="left"/>
      <w:pPr>
        <w:tabs>
          <w:tab w:val="num" w:pos="3600"/>
        </w:tabs>
        <w:ind w:left="3600" w:hanging="360"/>
      </w:pPr>
      <w:rPr>
        <w:rFonts w:ascii="Wingdings 3" w:hAnsi="Wingdings 3" w:hint="default"/>
      </w:rPr>
    </w:lvl>
    <w:lvl w:ilvl="5" w:tplc="20E2E9B4" w:tentative="1">
      <w:start w:val="1"/>
      <w:numFmt w:val="bullet"/>
      <w:lvlText w:val=""/>
      <w:lvlJc w:val="left"/>
      <w:pPr>
        <w:tabs>
          <w:tab w:val="num" w:pos="4320"/>
        </w:tabs>
        <w:ind w:left="4320" w:hanging="360"/>
      </w:pPr>
      <w:rPr>
        <w:rFonts w:ascii="Wingdings 3" w:hAnsi="Wingdings 3" w:hint="default"/>
      </w:rPr>
    </w:lvl>
    <w:lvl w:ilvl="6" w:tplc="5852AA3E" w:tentative="1">
      <w:start w:val="1"/>
      <w:numFmt w:val="bullet"/>
      <w:lvlText w:val=""/>
      <w:lvlJc w:val="left"/>
      <w:pPr>
        <w:tabs>
          <w:tab w:val="num" w:pos="5040"/>
        </w:tabs>
        <w:ind w:left="5040" w:hanging="360"/>
      </w:pPr>
      <w:rPr>
        <w:rFonts w:ascii="Wingdings 3" w:hAnsi="Wingdings 3" w:hint="default"/>
      </w:rPr>
    </w:lvl>
    <w:lvl w:ilvl="7" w:tplc="7EE0FE10" w:tentative="1">
      <w:start w:val="1"/>
      <w:numFmt w:val="bullet"/>
      <w:lvlText w:val=""/>
      <w:lvlJc w:val="left"/>
      <w:pPr>
        <w:tabs>
          <w:tab w:val="num" w:pos="5760"/>
        </w:tabs>
        <w:ind w:left="5760" w:hanging="360"/>
      </w:pPr>
      <w:rPr>
        <w:rFonts w:ascii="Wingdings 3" w:hAnsi="Wingdings 3" w:hint="default"/>
      </w:rPr>
    </w:lvl>
    <w:lvl w:ilvl="8" w:tplc="34B68156"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7A53169E"/>
    <w:multiLevelType w:val="hybridMultilevel"/>
    <w:tmpl w:val="BF98A6CE"/>
    <w:lvl w:ilvl="0" w:tplc="536491C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1F5784"/>
    <w:multiLevelType w:val="hybridMultilevel"/>
    <w:tmpl w:val="30FE0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FF413CB"/>
    <w:multiLevelType w:val="hybridMultilevel"/>
    <w:tmpl w:val="EE0279CE"/>
    <w:lvl w:ilvl="0" w:tplc="EFB6D598">
      <w:start w:val="4"/>
      <w:numFmt w:val="bullet"/>
      <w:lvlText w:val="-"/>
      <w:lvlJc w:val="left"/>
      <w:pPr>
        <w:ind w:left="36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6"/>
  </w:num>
  <w:num w:numId="4">
    <w:abstractNumId w:val="3"/>
  </w:num>
  <w:num w:numId="5">
    <w:abstractNumId w:val="10"/>
  </w:num>
  <w:num w:numId="6">
    <w:abstractNumId w:val="5"/>
  </w:num>
  <w:num w:numId="7">
    <w:abstractNumId w:val="18"/>
  </w:num>
  <w:num w:numId="8">
    <w:abstractNumId w:val="9"/>
  </w:num>
  <w:num w:numId="9">
    <w:abstractNumId w:val="22"/>
  </w:num>
  <w:num w:numId="10">
    <w:abstractNumId w:val="11"/>
  </w:num>
  <w:num w:numId="11">
    <w:abstractNumId w:val="27"/>
  </w:num>
  <w:num w:numId="12">
    <w:abstractNumId w:val="31"/>
  </w:num>
  <w:num w:numId="13">
    <w:abstractNumId w:val="20"/>
  </w:num>
  <w:num w:numId="14">
    <w:abstractNumId w:val="4"/>
  </w:num>
  <w:num w:numId="15">
    <w:abstractNumId w:val="2"/>
  </w:num>
  <w:num w:numId="16">
    <w:abstractNumId w:val="30"/>
  </w:num>
  <w:num w:numId="17">
    <w:abstractNumId w:val="28"/>
  </w:num>
  <w:num w:numId="18">
    <w:abstractNumId w:val="0"/>
  </w:num>
  <w:num w:numId="19">
    <w:abstractNumId w:val="15"/>
  </w:num>
  <w:num w:numId="20">
    <w:abstractNumId w:val="16"/>
  </w:num>
  <w:num w:numId="21">
    <w:abstractNumId w:val="1"/>
  </w:num>
  <w:num w:numId="22">
    <w:abstractNumId w:val="7"/>
  </w:num>
  <w:num w:numId="23">
    <w:abstractNumId w:val="29"/>
  </w:num>
  <w:num w:numId="24">
    <w:abstractNumId w:val="8"/>
  </w:num>
  <w:num w:numId="25">
    <w:abstractNumId w:val="14"/>
  </w:num>
  <w:num w:numId="26">
    <w:abstractNumId w:val="12"/>
  </w:num>
  <w:num w:numId="27">
    <w:abstractNumId w:val="26"/>
  </w:num>
  <w:num w:numId="28">
    <w:abstractNumId w:val="24"/>
  </w:num>
  <w:num w:numId="29">
    <w:abstractNumId w:val="19"/>
  </w:num>
  <w:num w:numId="30">
    <w:abstractNumId w:val="17"/>
  </w:num>
  <w:num w:numId="31">
    <w:abstractNumId w:val="2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E2"/>
    <w:rsid w:val="000008AC"/>
    <w:rsid w:val="00000EF9"/>
    <w:rsid w:val="00001855"/>
    <w:rsid w:val="00002A41"/>
    <w:rsid w:val="00002B7E"/>
    <w:rsid w:val="00002DDD"/>
    <w:rsid w:val="00010100"/>
    <w:rsid w:val="00012CE3"/>
    <w:rsid w:val="00014AC2"/>
    <w:rsid w:val="0001520A"/>
    <w:rsid w:val="00024F1D"/>
    <w:rsid w:val="00030BB0"/>
    <w:rsid w:val="00031C39"/>
    <w:rsid w:val="00031E88"/>
    <w:rsid w:val="00033309"/>
    <w:rsid w:val="00036BA1"/>
    <w:rsid w:val="00037C2C"/>
    <w:rsid w:val="00042C6A"/>
    <w:rsid w:val="000444C0"/>
    <w:rsid w:val="000553B7"/>
    <w:rsid w:val="000605A1"/>
    <w:rsid w:val="00060F35"/>
    <w:rsid w:val="00064437"/>
    <w:rsid w:val="000745B7"/>
    <w:rsid w:val="00086304"/>
    <w:rsid w:val="00092AB5"/>
    <w:rsid w:val="000A034C"/>
    <w:rsid w:val="000A5288"/>
    <w:rsid w:val="000A791B"/>
    <w:rsid w:val="000B090F"/>
    <w:rsid w:val="000B3A47"/>
    <w:rsid w:val="000B7C3C"/>
    <w:rsid w:val="000C1FBE"/>
    <w:rsid w:val="000D2431"/>
    <w:rsid w:val="000D355A"/>
    <w:rsid w:val="000D5563"/>
    <w:rsid w:val="000E350D"/>
    <w:rsid w:val="000F4A3A"/>
    <w:rsid w:val="001038C4"/>
    <w:rsid w:val="00103908"/>
    <w:rsid w:val="00106C67"/>
    <w:rsid w:val="00116BCD"/>
    <w:rsid w:val="0012493F"/>
    <w:rsid w:val="00124C53"/>
    <w:rsid w:val="00124CF3"/>
    <w:rsid w:val="001258FE"/>
    <w:rsid w:val="00127BBA"/>
    <w:rsid w:val="001309FF"/>
    <w:rsid w:val="00130EEB"/>
    <w:rsid w:val="001325FB"/>
    <w:rsid w:val="0013545C"/>
    <w:rsid w:val="0014186B"/>
    <w:rsid w:val="00150EDD"/>
    <w:rsid w:val="0015673A"/>
    <w:rsid w:val="001574E2"/>
    <w:rsid w:val="00161ABA"/>
    <w:rsid w:val="00162C3A"/>
    <w:rsid w:val="00162ED2"/>
    <w:rsid w:val="00164EE4"/>
    <w:rsid w:val="00174C1F"/>
    <w:rsid w:val="0017764E"/>
    <w:rsid w:val="001811E3"/>
    <w:rsid w:val="00181917"/>
    <w:rsid w:val="001958F6"/>
    <w:rsid w:val="001A0BBB"/>
    <w:rsid w:val="001A6D88"/>
    <w:rsid w:val="001B1EA6"/>
    <w:rsid w:val="001B35B2"/>
    <w:rsid w:val="001C48D7"/>
    <w:rsid w:val="001C67BB"/>
    <w:rsid w:val="001D3DBB"/>
    <w:rsid w:val="001E2020"/>
    <w:rsid w:val="001E4747"/>
    <w:rsid w:val="001F17E9"/>
    <w:rsid w:val="001F7B3A"/>
    <w:rsid w:val="00200FE1"/>
    <w:rsid w:val="00206CC8"/>
    <w:rsid w:val="002073E4"/>
    <w:rsid w:val="00211A92"/>
    <w:rsid w:val="00212C48"/>
    <w:rsid w:val="00212EBE"/>
    <w:rsid w:val="00214EB0"/>
    <w:rsid w:val="00215757"/>
    <w:rsid w:val="00215DAC"/>
    <w:rsid w:val="0021796C"/>
    <w:rsid w:val="00226B2D"/>
    <w:rsid w:val="0023485A"/>
    <w:rsid w:val="00243BBD"/>
    <w:rsid w:val="00251C37"/>
    <w:rsid w:val="00253818"/>
    <w:rsid w:val="0026036C"/>
    <w:rsid w:val="00261024"/>
    <w:rsid w:val="00263551"/>
    <w:rsid w:val="002651A9"/>
    <w:rsid w:val="0027671F"/>
    <w:rsid w:val="00281CFD"/>
    <w:rsid w:val="0028616D"/>
    <w:rsid w:val="0028711B"/>
    <w:rsid w:val="00290348"/>
    <w:rsid w:val="00294A9D"/>
    <w:rsid w:val="002A0591"/>
    <w:rsid w:val="002A141F"/>
    <w:rsid w:val="002A46A6"/>
    <w:rsid w:val="002A58C1"/>
    <w:rsid w:val="002B1E2C"/>
    <w:rsid w:val="002B4067"/>
    <w:rsid w:val="002B5C20"/>
    <w:rsid w:val="002D002B"/>
    <w:rsid w:val="002D0455"/>
    <w:rsid w:val="002D3208"/>
    <w:rsid w:val="002D5C27"/>
    <w:rsid w:val="002F1129"/>
    <w:rsid w:val="002F2CED"/>
    <w:rsid w:val="00303BA6"/>
    <w:rsid w:val="00324E5B"/>
    <w:rsid w:val="00330BA7"/>
    <w:rsid w:val="00333C3C"/>
    <w:rsid w:val="00354ABE"/>
    <w:rsid w:val="00360078"/>
    <w:rsid w:val="00367E61"/>
    <w:rsid w:val="0038682F"/>
    <w:rsid w:val="00386EF5"/>
    <w:rsid w:val="00394E9B"/>
    <w:rsid w:val="003961E5"/>
    <w:rsid w:val="003A50AD"/>
    <w:rsid w:val="003A6BFE"/>
    <w:rsid w:val="003A744D"/>
    <w:rsid w:val="003B06A2"/>
    <w:rsid w:val="003B6B22"/>
    <w:rsid w:val="003D1BAD"/>
    <w:rsid w:val="003D4472"/>
    <w:rsid w:val="003E5D24"/>
    <w:rsid w:val="003F13D0"/>
    <w:rsid w:val="003F1508"/>
    <w:rsid w:val="003F5E62"/>
    <w:rsid w:val="004058BA"/>
    <w:rsid w:val="00407521"/>
    <w:rsid w:val="00410046"/>
    <w:rsid w:val="00417382"/>
    <w:rsid w:val="004243C3"/>
    <w:rsid w:val="00427577"/>
    <w:rsid w:val="004338BD"/>
    <w:rsid w:val="00441FD8"/>
    <w:rsid w:val="004547F1"/>
    <w:rsid w:val="004564D0"/>
    <w:rsid w:val="00461B83"/>
    <w:rsid w:val="004664CA"/>
    <w:rsid w:val="00471F51"/>
    <w:rsid w:val="00472B57"/>
    <w:rsid w:val="00472E4B"/>
    <w:rsid w:val="004825B6"/>
    <w:rsid w:val="004862ED"/>
    <w:rsid w:val="00490BE5"/>
    <w:rsid w:val="004A042C"/>
    <w:rsid w:val="004A3B0C"/>
    <w:rsid w:val="004A5F6F"/>
    <w:rsid w:val="004A6344"/>
    <w:rsid w:val="004B1AE0"/>
    <w:rsid w:val="004B2F73"/>
    <w:rsid w:val="004D05B5"/>
    <w:rsid w:val="004D761D"/>
    <w:rsid w:val="004F1646"/>
    <w:rsid w:val="004F46B7"/>
    <w:rsid w:val="004F5F4D"/>
    <w:rsid w:val="00513593"/>
    <w:rsid w:val="00515EC0"/>
    <w:rsid w:val="005212E4"/>
    <w:rsid w:val="00522FFD"/>
    <w:rsid w:val="00524D15"/>
    <w:rsid w:val="005254F8"/>
    <w:rsid w:val="00525ADE"/>
    <w:rsid w:val="00526B6D"/>
    <w:rsid w:val="00527FC6"/>
    <w:rsid w:val="00537BE6"/>
    <w:rsid w:val="00537E80"/>
    <w:rsid w:val="00544235"/>
    <w:rsid w:val="00545870"/>
    <w:rsid w:val="00551588"/>
    <w:rsid w:val="00556877"/>
    <w:rsid w:val="00565340"/>
    <w:rsid w:val="0056640E"/>
    <w:rsid w:val="005705F8"/>
    <w:rsid w:val="00571F58"/>
    <w:rsid w:val="00577617"/>
    <w:rsid w:val="00582693"/>
    <w:rsid w:val="00582A37"/>
    <w:rsid w:val="00583426"/>
    <w:rsid w:val="00584438"/>
    <w:rsid w:val="00597CEB"/>
    <w:rsid w:val="005A3001"/>
    <w:rsid w:val="005A4399"/>
    <w:rsid w:val="005A51BF"/>
    <w:rsid w:val="005B6A7B"/>
    <w:rsid w:val="005C11D0"/>
    <w:rsid w:val="005C2282"/>
    <w:rsid w:val="005C2767"/>
    <w:rsid w:val="005D3F5D"/>
    <w:rsid w:val="005D5340"/>
    <w:rsid w:val="005E5C99"/>
    <w:rsid w:val="005F641F"/>
    <w:rsid w:val="00600BA0"/>
    <w:rsid w:val="0060161F"/>
    <w:rsid w:val="00601CC3"/>
    <w:rsid w:val="00602777"/>
    <w:rsid w:val="0060311D"/>
    <w:rsid w:val="00606E25"/>
    <w:rsid w:val="00607894"/>
    <w:rsid w:val="006113B3"/>
    <w:rsid w:val="0061251F"/>
    <w:rsid w:val="00617726"/>
    <w:rsid w:val="00617873"/>
    <w:rsid w:val="00622125"/>
    <w:rsid w:val="00622B1B"/>
    <w:rsid w:val="006232A2"/>
    <w:rsid w:val="00626237"/>
    <w:rsid w:val="00627604"/>
    <w:rsid w:val="006276CB"/>
    <w:rsid w:val="00632121"/>
    <w:rsid w:val="00634CBA"/>
    <w:rsid w:val="00636643"/>
    <w:rsid w:val="00637B8F"/>
    <w:rsid w:val="00641FA0"/>
    <w:rsid w:val="006538FD"/>
    <w:rsid w:val="0065583F"/>
    <w:rsid w:val="00660DFA"/>
    <w:rsid w:val="0066693E"/>
    <w:rsid w:val="00671802"/>
    <w:rsid w:val="0068633A"/>
    <w:rsid w:val="006902D5"/>
    <w:rsid w:val="0069030E"/>
    <w:rsid w:val="00690BAE"/>
    <w:rsid w:val="0069115D"/>
    <w:rsid w:val="00696F56"/>
    <w:rsid w:val="006A752C"/>
    <w:rsid w:val="006B1AD9"/>
    <w:rsid w:val="006B2951"/>
    <w:rsid w:val="006B3B68"/>
    <w:rsid w:val="006C0B93"/>
    <w:rsid w:val="006C4982"/>
    <w:rsid w:val="006D574F"/>
    <w:rsid w:val="006D6E73"/>
    <w:rsid w:val="006E30B7"/>
    <w:rsid w:val="006F1FBF"/>
    <w:rsid w:val="007145D6"/>
    <w:rsid w:val="007204B4"/>
    <w:rsid w:val="00720F39"/>
    <w:rsid w:val="00725DFB"/>
    <w:rsid w:val="00740FB2"/>
    <w:rsid w:val="00741116"/>
    <w:rsid w:val="00742549"/>
    <w:rsid w:val="00750F5A"/>
    <w:rsid w:val="00757316"/>
    <w:rsid w:val="007675CE"/>
    <w:rsid w:val="00770B49"/>
    <w:rsid w:val="0077587E"/>
    <w:rsid w:val="007775B2"/>
    <w:rsid w:val="00785BFE"/>
    <w:rsid w:val="00787CDE"/>
    <w:rsid w:val="00797799"/>
    <w:rsid w:val="00797C29"/>
    <w:rsid w:val="007A0013"/>
    <w:rsid w:val="007A0211"/>
    <w:rsid w:val="007A4FBE"/>
    <w:rsid w:val="007B2D7D"/>
    <w:rsid w:val="007B7429"/>
    <w:rsid w:val="007C06EF"/>
    <w:rsid w:val="007C0E56"/>
    <w:rsid w:val="007C44B2"/>
    <w:rsid w:val="007D01EE"/>
    <w:rsid w:val="007D42A4"/>
    <w:rsid w:val="007E05D9"/>
    <w:rsid w:val="007E4749"/>
    <w:rsid w:val="007F2688"/>
    <w:rsid w:val="007F3A76"/>
    <w:rsid w:val="007F4681"/>
    <w:rsid w:val="007F6B66"/>
    <w:rsid w:val="008020B6"/>
    <w:rsid w:val="00802AAA"/>
    <w:rsid w:val="0080552B"/>
    <w:rsid w:val="00813321"/>
    <w:rsid w:val="00813C9A"/>
    <w:rsid w:val="00826028"/>
    <w:rsid w:val="00826B4A"/>
    <w:rsid w:val="00832678"/>
    <w:rsid w:val="00835308"/>
    <w:rsid w:val="00835BA6"/>
    <w:rsid w:val="00836232"/>
    <w:rsid w:val="008401A2"/>
    <w:rsid w:val="00843B1A"/>
    <w:rsid w:val="008501F3"/>
    <w:rsid w:val="00850D24"/>
    <w:rsid w:val="00851A96"/>
    <w:rsid w:val="00852C85"/>
    <w:rsid w:val="008539EE"/>
    <w:rsid w:val="00862A50"/>
    <w:rsid w:val="00866277"/>
    <w:rsid w:val="00867DD0"/>
    <w:rsid w:val="00873C3A"/>
    <w:rsid w:val="00873E3A"/>
    <w:rsid w:val="0087448A"/>
    <w:rsid w:val="008809F6"/>
    <w:rsid w:val="00881DA5"/>
    <w:rsid w:val="00883B6D"/>
    <w:rsid w:val="00883C2F"/>
    <w:rsid w:val="008854A2"/>
    <w:rsid w:val="00885541"/>
    <w:rsid w:val="008937C9"/>
    <w:rsid w:val="00893E78"/>
    <w:rsid w:val="008970F6"/>
    <w:rsid w:val="008A66AD"/>
    <w:rsid w:val="008A735E"/>
    <w:rsid w:val="008B36F0"/>
    <w:rsid w:val="008C7435"/>
    <w:rsid w:val="008D3C47"/>
    <w:rsid w:val="008D637F"/>
    <w:rsid w:val="008E0F9B"/>
    <w:rsid w:val="008E2773"/>
    <w:rsid w:val="008E289E"/>
    <w:rsid w:val="008E39DD"/>
    <w:rsid w:val="008E5FC8"/>
    <w:rsid w:val="008E72E4"/>
    <w:rsid w:val="008E7FA6"/>
    <w:rsid w:val="008F1F95"/>
    <w:rsid w:val="008F2DF4"/>
    <w:rsid w:val="008F6B8E"/>
    <w:rsid w:val="008F753B"/>
    <w:rsid w:val="00901D47"/>
    <w:rsid w:val="00903446"/>
    <w:rsid w:val="0091000C"/>
    <w:rsid w:val="009241CA"/>
    <w:rsid w:val="00924950"/>
    <w:rsid w:val="00925AE0"/>
    <w:rsid w:val="00925C69"/>
    <w:rsid w:val="00926780"/>
    <w:rsid w:val="009409A6"/>
    <w:rsid w:val="009410B0"/>
    <w:rsid w:val="00941734"/>
    <w:rsid w:val="00942934"/>
    <w:rsid w:val="00942B04"/>
    <w:rsid w:val="00950043"/>
    <w:rsid w:val="0095646B"/>
    <w:rsid w:val="00956C7A"/>
    <w:rsid w:val="0096368B"/>
    <w:rsid w:val="00964E6F"/>
    <w:rsid w:val="009652B1"/>
    <w:rsid w:val="00967515"/>
    <w:rsid w:val="009677D5"/>
    <w:rsid w:val="00971FFB"/>
    <w:rsid w:val="00980A40"/>
    <w:rsid w:val="00993129"/>
    <w:rsid w:val="00995048"/>
    <w:rsid w:val="009A3B1F"/>
    <w:rsid w:val="009A3BF0"/>
    <w:rsid w:val="009A4B8E"/>
    <w:rsid w:val="009A784D"/>
    <w:rsid w:val="009C01A5"/>
    <w:rsid w:val="009C3810"/>
    <w:rsid w:val="009E5B2C"/>
    <w:rsid w:val="00A02A02"/>
    <w:rsid w:val="00A02AD7"/>
    <w:rsid w:val="00A05315"/>
    <w:rsid w:val="00A153EF"/>
    <w:rsid w:val="00A24BEA"/>
    <w:rsid w:val="00A30D53"/>
    <w:rsid w:val="00A461E8"/>
    <w:rsid w:val="00A517EC"/>
    <w:rsid w:val="00A546D0"/>
    <w:rsid w:val="00A62FA7"/>
    <w:rsid w:val="00A66FEB"/>
    <w:rsid w:val="00A7575C"/>
    <w:rsid w:val="00A83E45"/>
    <w:rsid w:val="00A90042"/>
    <w:rsid w:val="00A9255E"/>
    <w:rsid w:val="00A92AE9"/>
    <w:rsid w:val="00A9356B"/>
    <w:rsid w:val="00AA2F08"/>
    <w:rsid w:val="00AA3C40"/>
    <w:rsid w:val="00AA41F1"/>
    <w:rsid w:val="00AA74C6"/>
    <w:rsid w:val="00AB2E28"/>
    <w:rsid w:val="00AB4F87"/>
    <w:rsid w:val="00AB5AE2"/>
    <w:rsid w:val="00AB76EA"/>
    <w:rsid w:val="00AC0EBB"/>
    <w:rsid w:val="00AC3FEF"/>
    <w:rsid w:val="00AD1CC3"/>
    <w:rsid w:val="00AD7B89"/>
    <w:rsid w:val="00AE0B44"/>
    <w:rsid w:val="00AE1984"/>
    <w:rsid w:val="00AE5903"/>
    <w:rsid w:val="00AF0838"/>
    <w:rsid w:val="00AF1B8B"/>
    <w:rsid w:val="00AF6485"/>
    <w:rsid w:val="00AF7DB0"/>
    <w:rsid w:val="00B018FE"/>
    <w:rsid w:val="00B03930"/>
    <w:rsid w:val="00B07C28"/>
    <w:rsid w:val="00B13B4B"/>
    <w:rsid w:val="00B22418"/>
    <w:rsid w:val="00B31D34"/>
    <w:rsid w:val="00B47F8D"/>
    <w:rsid w:val="00B50C61"/>
    <w:rsid w:val="00B51CF8"/>
    <w:rsid w:val="00B52E24"/>
    <w:rsid w:val="00B56D46"/>
    <w:rsid w:val="00B62BA5"/>
    <w:rsid w:val="00B856C1"/>
    <w:rsid w:val="00B86211"/>
    <w:rsid w:val="00B91971"/>
    <w:rsid w:val="00BA210C"/>
    <w:rsid w:val="00BC06EB"/>
    <w:rsid w:val="00BC5A86"/>
    <w:rsid w:val="00BC6F49"/>
    <w:rsid w:val="00BD73B6"/>
    <w:rsid w:val="00BE11CE"/>
    <w:rsid w:val="00BE6F7B"/>
    <w:rsid w:val="00BF12A4"/>
    <w:rsid w:val="00BF465F"/>
    <w:rsid w:val="00BF4E44"/>
    <w:rsid w:val="00BF606A"/>
    <w:rsid w:val="00C00F55"/>
    <w:rsid w:val="00C036E6"/>
    <w:rsid w:val="00C063E3"/>
    <w:rsid w:val="00C1095C"/>
    <w:rsid w:val="00C2236E"/>
    <w:rsid w:val="00C236EE"/>
    <w:rsid w:val="00C24318"/>
    <w:rsid w:val="00C25143"/>
    <w:rsid w:val="00C30907"/>
    <w:rsid w:val="00C421CC"/>
    <w:rsid w:val="00C46A42"/>
    <w:rsid w:val="00C50EEE"/>
    <w:rsid w:val="00C5279B"/>
    <w:rsid w:val="00C5368B"/>
    <w:rsid w:val="00C55528"/>
    <w:rsid w:val="00C60542"/>
    <w:rsid w:val="00C6345B"/>
    <w:rsid w:val="00C646DB"/>
    <w:rsid w:val="00C761BD"/>
    <w:rsid w:val="00C80D5C"/>
    <w:rsid w:val="00C93FA4"/>
    <w:rsid w:val="00CA5E64"/>
    <w:rsid w:val="00CA6F97"/>
    <w:rsid w:val="00CB6C3B"/>
    <w:rsid w:val="00CD1CB8"/>
    <w:rsid w:val="00CD4401"/>
    <w:rsid w:val="00CD44F6"/>
    <w:rsid w:val="00CD4D6D"/>
    <w:rsid w:val="00CF38A7"/>
    <w:rsid w:val="00CF53B0"/>
    <w:rsid w:val="00D1202A"/>
    <w:rsid w:val="00D13717"/>
    <w:rsid w:val="00D21B0A"/>
    <w:rsid w:val="00D30542"/>
    <w:rsid w:val="00D404F9"/>
    <w:rsid w:val="00D4082D"/>
    <w:rsid w:val="00D41863"/>
    <w:rsid w:val="00D41B76"/>
    <w:rsid w:val="00D42225"/>
    <w:rsid w:val="00D42233"/>
    <w:rsid w:val="00D44FF7"/>
    <w:rsid w:val="00D451C0"/>
    <w:rsid w:val="00D4687B"/>
    <w:rsid w:val="00D558D6"/>
    <w:rsid w:val="00D73D41"/>
    <w:rsid w:val="00D74F96"/>
    <w:rsid w:val="00D81EA1"/>
    <w:rsid w:val="00D86606"/>
    <w:rsid w:val="00D910E1"/>
    <w:rsid w:val="00D9480B"/>
    <w:rsid w:val="00DA0E30"/>
    <w:rsid w:val="00DB07E2"/>
    <w:rsid w:val="00DB6EDD"/>
    <w:rsid w:val="00DB7CD5"/>
    <w:rsid w:val="00DC3D5E"/>
    <w:rsid w:val="00DC7DCF"/>
    <w:rsid w:val="00DC7ED9"/>
    <w:rsid w:val="00DD0859"/>
    <w:rsid w:val="00DE4977"/>
    <w:rsid w:val="00DE4EB6"/>
    <w:rsid w:val="00DF5459"/>
    <w:rsid w:val="00DF663F"/>
    <w:rsid w:val="00DF7B5C"/>
    <w:rsid w:val="00E2154C"/>
    <w:rsid w:val="00E22C8F"/>
    <w:rsid w:val="00E32341"/>
    <w:rsid w:val="00E32F6D"/>
    <w:rsid w:val="00E41603"/>
    <w:rsid w:val="00E47E19"/>
    <w:rsid w:val="00E51D6E"/>
    <w:rsid w:val="00E52D73"/>
    <w:rsid w:val="00E55701"/>
    <w:rsid w:val="00E65C65"/>
    <w:rsid w:val="00E66D97"/>
    <w:rsid w:val="00E73C17"/>
    <w:rsid w:val="00E83E7E"/>
    <w:rsid w:val="00E875E4"/>
    <w:rsid w:val="00E95DB8"/>
    <w:rsid w:val="00EA70CE"/>
    <w:rsid w:val="00EB03A5"/>
    <w:rsid w:val="00EB4DF3"/>
    <w:rsid w:val="00EC2A4C"/>
    <w:rsid w:val="00EE1C87"/>
    <w:rsid w:val="00EE3942"/>
    <w:rsid w:val="00EF3852"/>
    <w:rsid w:val="00EF43F0"/>
    <w:rsid w:val="00EF66D7"/>
    <w:rsid w:val="00EF6AC9"/>
    <w:rsid w:val="00F046D5"/>
    <w:rsid w:val="00F05755"/>
    <w:rsid w:val="00F10786"/>
    <w:rsid w:val="00F170A8"/>
    <w:rsid w:val="00F31E5F"/>
    <w:rsid w:val="00F33778"/>
    <w:rsid w:val="00F3402A"/>
    <w:rsid w:val="00F44D2B"/>
    <w:rsid w:val="00F50915"/>
    <w:rsid w:val="00F54FFA"/>
    <w:rsid w:val="00F574C7"/>
    <w:rsid w:val="00F64703"/>
    <w:rsid w:val="00F64A6C"/>
    <w:rsid w:val="00F651FA"/>
    <w:rsid w:val="00F70738"/>
    <w:rsid w:val="00F978F0"/>
    <w:rsid w:val="00FA03A4"/>
    <w:rsid w:val="00FA0F58"/>
    <w:rsid w:val="00FB20B5"/>
    <w:rsid w:val="00FB68D6"/>
    <w:rsid w:val="00FB7DDA"/>
    <w:rsid w:val="00FC7787"/>
    <w:rsid w:val="00FD3D8D"/>
    <w:rsid w:val="00FD5C17"/>
    <w:rsid w:val="00FE6E01"/>
    <w:rsid w:val="00FF1AAE"/>
    <w:rsid w:val="00FF1BDD"/>
    <w:rsid w:val="00FF1FCE"/>
    <w:rsid w:val="00FF4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4BEE895-7CDC-46FB-86D9-4C150E02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2A4"/>
    <w:pPr>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next w:val="Normal"/>
    <w:link w:val="Heading1Char"/>
    <w:uiPriority w:val="9"/>
    <w:qFormat/>
    <w:rsid w:val="002903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34CBA"/>
    <w:pPr>
      <w:keepNext/>
      <w:keepLines/>
      <w:spacing w:before="40"/>
      <w:outlineLvl w:val="1"/>
    </w:pPr>
    <w:rPr>
      <w:rFonts w:asciiTheme="majorHAnsi" w:eastAsiaTheme="majorEastAsia" w:hAnsiTheme="majorHAnsi" w:cstheme="majorBidi"/>
      <w:color w:val="2E74B5" w:themeColor="accent1" w:themeShade="BF"/>
      <w:sz w:val="26"/>
      <w:szCs w:val="26"/>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
    <w:name w:val="cb"/>
    <w:basedOn w:val="Normal"/>
    <w:rsid w:val="00D451C0"/>
    <w:pPr>
      <w:jc w:val="center"/>
    </w:pPr>
    <w:rPr>
      <w:rFonts w:eastAsia="Times New Roman"/>
      <w:b/>
      <w:bCs/>
    </w:rPr>
  </w:style>
  <w:style w:type="paragraph" w:styleId="IntenseQuote">
    <w:name w:val="Intense Quote"/>
    <w:basedOn w:val="Normal"/>
    <w:next w:val="Normal"/>
    <w:link w:val="IntenseQuoteChar"/>
    <w:uiPriority w:val="30"/>
    <w:qFormat/>
    <w:rsid w:val="00D451C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451C0"/>
    <w:rPr>
      <w:rFonts w:ascii="Times New Roman" w:eastAsiaTheme="minorEastAsia" w:hAnsi="Times New Roman" w:cs="Times New Roman"/>
      <w:i/>
      <w:iCs/>
      <w:color w:val="5B9BD5" w:themeColor="accent1"/>
      <w:sz w:val="24"/>
      <w:szCs w:val="24"/>
      <w:lang w:eastAsia="en-GB"/>
    </w:rPr>
  </w:style>
  <w:style w:type="character" w:styleId="BookTitle">
    <w:name w:val="Book Title"/>
    <w:basedOn w:val="DefaultParagraphFont"/>
    <w:uiPriority w:val="33"/>
    <w:qFormat/>
    <w:rsid w:val="00D451C0"/>
    <w:rPr>
      <w:b/>
      <w:bCs/>
      <w:i/>
      <w:iCs/>
      <w:spacing w:val="5"/>
    </w:rPr>
  </w:style>
  <w:style w:type="character" w:customStyle="1" w:styleId="Bodytext6NotItalic">
    <w:name w:val="Body text (6) + Not Italic"/>
    <w:basedOn w:val="DefaultParagraphFont"/>
    <w:uiPriority w:val="99"/>
    <w:rsid w:val="00215757"/>
    <w:rPr>
      <w:rFonts w:ascii="Times New Roman" w:hAnsi="Times New Roman" w:cs="Times New Roman" w:hint="default"/>
      <w:i w:val="0"/>
      <w:iCs w:val="0"/>
      <w:sz w:val="26"/>
      <w:szCs w:val="26"/>
      <w:shd w:val="clear" w:color="auto" w:fill="FFFFFF"/>
    </w:rPr>
  </w:style>
  <w:style w:type="paragraph" w:styleId="NormalWeb">
    <w:name w:val="Normal (Web)"/>
    <w:basedOn w:val="Normal"/>
    <w:uiPriority w:val="99"/>
    <w:unhideWhenUsed/>
    <w:rsid w:val="00B52E24"/>
    <w:pPr>
      <w:ind w:firstLine="567"/>
      <w:jc w:val="both"/>
    </w:pPr>
    <w:rPr>
      <w:rFonts w:eastAsia="Times New Roman"/>
    </w:rPr>
  </w:style>
  <w:style w:type="character" w:styleId="Hyperlink">
    <w:name w:val="Hyperlink"/>
    <w:unhideWhenUsed/>
    <w:rsid w:val="00F33778"/>
    <w:rPr>
      <w:color w:val="0000FF"/>
      <w:u w:val="single"/>
    </w:rPr>
  </w:style>
  <w:style w:type="character" w:customStyle="1" w:styleId="ListParagraphChar">
    <w:name w:val="List Paragraph Char"/>
    <w:aliases w:val="List Paragraph 1 Char,Bullets Char,List Paragraph (numbered (a)) Char,Numbered Paragraph Char,Main numbered paragraph Char,Akapit z listą BS Char,Lettre d'introduction Char,List Paragraph11 Char,Scriptoria bullet points Char"/>
    <w:link w:val="ListParagraph"/>
    <w:uiPriority w:val="34"/>
    <w:locked/>
    <w:rsid w:val="00967515"/>
    <w:rPr>
      <w:rFonts w:ascii="Calibri" w:eastAsia="Times New Roman" w:hAnsi="Calibri" w:cs="Times New Roman"/>
      <w:lang w:eastAsia="ru-RU"/>
    </w:rPr>
  </w:style>
  <w:style w:type="paragraph" w:styleId="ListParagraph">
    <w:name w:val="List Paragraph"/>
    <w:aliases w:val="List Paragraph 1,Bullets,List Paragraph (numbered (a)),Numbered Paragraph,Main numbered paragraph,Akapit z listą BS,Lettre d'introduction,List Paragraph11,Scriptoria bullet points,Bullet Points,Liste Paragraf,Listenabsatz1,References"/>
    <w:basedOn w:val="Normal"/>
    <w:link w:val="ListParagraphChar"/>
    <w:uiPriority w:val="1"/>
    <w:qFormat/>
    <w:rsid w:val="00967515"/>
    <w:pPr>
      <w:spacing w:after="200" w:line="276" w:lineRule="auto"/>
      <w:ind w:left="720"/>
      <w:contextualSpacing/>
    </w:pPr>
    <w:rPr>
      <w:rFonts w:ascii="Calibri" w:eastAsia="Times New Roman" w:hAnsi="Calibri"/>
      <w:sz w:val="22"/>
      <w:szCs w:val="22"/>
      <w:lang w:eastAsia="ru-RU"/>
    </w:rPr>
  </w:style>
  <w:style w:type="character" w:styleId="Emphasis">
    <w:name w:val="Emphasis"/>
    <w:basedOn w:val="DefaultParagraphFont"/>
    <w:uiPriority w:val="20"/>
    <w:qFormat/>
    <w:rsid w:val="00967515"/>
    <w:rPr>
      <w:i/>
      <w:iCs/>
    </w:rPr>
  </w:style>
  <w:style w:type="paragraph" w:styleId="Header">
    <w:name w:val="header"/>
    <w:basedOn w:val="Normal"/>
    <w:link w:val="HeaderChar"/>
    <w:uiPriority w:val="99"/>
    <w:unhideWhenUsed/>
    <w:rsid w:val="00537E80"/>
    <w:pPr>
      <w:tabs>
        <w:tab w:val="center" w:pos="4844"/>
        <w:tab w:val="right" w:pos="9689"/>
      </w:tabs>
    </w:pPr>
    <w:rPr>
      <w:rFonts w:ascii="Calibri" w:eastAsia="Calibri" w:hAnsi="Calibri"/>
      <w:sz w:val="22"/>
      <w:szCs w:val="22"/>
      <w:lang w:val="en-US" w:eastAsia="en-US"/>
    </w:rPr>
  </w:style>
  <w:style w:type="character" w:customStyle="1" w:styleId="HeaderChar">
    <w:name w:val="Header Char"/>
    <w:basedOn w:val="DefaultParagraphFont"/>
    <w:link w:val="Header"/>
    <w:uiPriority w:val="99"/>
    <w:rsid w:val="00537E80"/>
    <w:rPr>
      <w:rFonts w:ascii="Calibri" w:eastAsia="Calibri" w:hAnsi="Calibri" w:cs="Times New Roman"/>
      <w:lang w:val="en-US"/>
    </w:rPr>
  </w:style>
  <w:style w:type="paragraph" w:customStyle="1" w:styleId="tt">
    <w:name w:val="tt"/>
    <w:basedOn w:val="Normal"/>
    <w:rsid w:val="00632121"/>
    <w:pPr>
      <w:jc w:val="center"/>
    </w:pPr>
    <w:rPr>
      <w:rFonts w:eastAsia="Times New Roman"/>
      <w:b/>
      <w:bCs/>
    </w:rPr>
  </w:style>
  <w:style w:type="paragraph" w:styleId="BodyText">
    <w:name w:val="Body Text"/>
    <w:basedOn w:val="Normal"/>
    <w:link w:val="BodyTextChar"/>
    <w:uiPriority w:val="99"/>
    <w:unhideWhenUsed/>
    <w:rsid w:val="005212E4"/>
    <w:rPr>
      <w:rFonts w:eastAsia="Times New Roman"/>
      <w:sz w:val="28"/>
      <w:szCs w:val="20"/>
      <w:lang w:val="ro-RO" w:eastAsia="ru-RU"/>
    </w:rPr>
  </w:style>
  <w:style w:type="character" w:customStyle="1" w:styleId="BodyTextChar">
    <w:name w:val="Body Text Char"/>
    <w:basedOn w:val="DefaultParagraphFont"/>
    <w:link w:val="BodyText"/>
    <w:uiPriority w:val="99"/>
    <w:rsid w:val="005212E4"/>
    <w:rPr>
      <w:rFonts w:ascii="Times New Roman" w:eastAsia="Times New Roman" w:hAnsi="Times New Roman" w:cs="Times New Roman"/>
      <w:sz w:val="28"/>
      <w:szCs w:val="20"/>
      <w:lang w:val="ro-RO" w:eastAsia="ru-RU"/>
    </w:rPr>
  </w:style>
  <w:style w:type="paragraph" w:styleId="Title">
    <w:name w:val="Title"/>
    <w:basedOn w:val="Normal"/>
    <w:link w:val="TitleChar"/>
    <w:qFormat/>
    <w:rsid w:val="00D21B0A"/>
    <w:pPr>
      <w:jc w:val="center"/>
    </w:pPr>
    <w:rPr>
      <w:rFonts w:eastAsia="Times New Roman"/>
      <w:sz w:val="26"/>
      <w:szCs w:val="20"/>
      <w:lang w:val="ro-RO" w:eastAsia="ru-RU"/>
    </w:rPr>
  </w:style>
  <w:style w:type="character" w:customStyle="1" w:styleId="TitleChar">
    <w:name w:val="Title Char"/>
    <w:basedOn w:val="DefaultParagraphFont"/>
    <w:link w:val="Title"/>
    <w:rsid w:val="00D21B0A"/>
    <w:rPr>
      <w:rFonts w:ascii="Times New Roman" w:eastAsia="Times New Roman" w:hAnsi="Times New Roman" w:cs="Times New Roman"/>
      <w:sz w:val="26"/>
      <w:szCs w:val="20"/>
      <w:lang w:val="ro-RO" w:eastAsia="ru-RU"/>
    </w:rPr>
  </w:style>
  <w:style w:type="character" w:styleId="FollowedHyperlink">
    <w:name w:val="FollowedHyperlink"/>
    <w:basedOn w:val="DefaultParagraphFont"/>
    <w:uiPriority w:val="99"/>
    <w:semiHidden/>
    <w:unhideWhenUsed/>
    <w:rsid w:val="00FB20B5"/>
    <w:rPr>
      <w:color w:val="954F72" w:themeColor="followedHyperlink"/>
      <w:u w:val="single"/>
    </w:rPr>
  </w:style>
  <w:style w:type="table" w:styleId="TableGrid">
    <w:name w:val="Table Grid"/>
    <w:basedOn w:val="TableNormal"/>
    <w:uiPriority w:val="39"/>
    <w:rsid w:val="0058269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0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34C"/>
    <w:rPr>
      <w:rFonts w:ascii="Segoe UI" w:eastAsiaTheme="minorEastAsia" w:hAnsi="Segoe UI" w:cs="Segoe UI"/>
      <w:sz w:val="18"/>
      <w:szCs w:val="18"/>
      <w:lang w:eastAsia="en-GB"/>
    </w:rPr>
  </w:style>
  <w:style w:type="paragraph" w:styleId="Footer">
    <w:name w:val="footer"/>
    <w:basedOn w:val="Normal"/>
    <w:link w:val="FooterChar"/>
    <w:uiPriority w:val="99"/>
    <w:unhideWhenUsed/>
    <w:rsid w:val="00942B04"/>
    <w:pPr>
      <w:tabs>
        <w:tab w:val="center" w:pos="4513"/>
        <w:tab w:val="right" w:pos="9026"/>
      </w:tabs>
    </w:pPr>
  </w:style>
  <w:style w:type="character" w:customStyle="1" w:styleId="FooterChar">
    <w:name w:val="Footer Char"/>
    <w:basedOn w:val="DefaultParagraphFont"/>
    <w:link w:val="Footer"/>
    <w:uiPriority w:val="99"/>
    <w:rsid w:val="00942B04"/>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23485A"/>
    <w:rPr>
      <w:b/>
      <w:bCs/>
    </w:rPr>
  </w:style>
  <w:style w:type="character" w:customStyle="1" w:styleId="Heading2Char">
    <w:name w:val="Heading 2 Char"/>
    <w:basedOn w:val="DefaultParagraphFont"/>
    <w:link w:val="Heading2"/>
    <w:uiPriority w:val="9"/>
    <w:semiHidden/>
    <w:rsid w:val="00634CBA"/>
    <w:rPr>
      <w:rFonts w:asciiTheme="majorHAnsi" w:eastAsiaTheme="majorEastAsia" w:hAnsiTheme="majorHAnsi" w:cstheme="majorBidi"/>
      <w:color w:val="2E74B5" w:themeColor="accent1" w:themeShade="BF"/>
      <w:sz w:val="26"/>
      <w:szCs w:val="26"/>
      <w:lang w:val="ru-RU" w:eastAsia="ru-RU"/>
    </w:rPr>
  </w:style>
  <w:style w:type="paragraph" w:customStyle="1" w:styleId="rtejustify">
    <w:name w:val="rtejustify"/>
    <w:basedOn w:val="Normal"/>
    <w:rsid w:val="001B1EA6"/>
    <w:pPr>
      <w:spacing w:before="100" w:beforeAutospacing="1" w:after="100" w:afterAutospacing="1"/>
    </w:pPr>
    <w:rPr>
      <w:rFonts w:eastAsia="Times New Roman"/>
      <w:lang w:val="ro-RO" w:eastAsia="ro-RO"/>
    </w:rPr>
  </w:style>
  <w:style w:type="paragraph" w:styleId="Revision">
    <w:name w:val="Revision"/>
    <w:hidden/>
    <w:uiPriority w:val="99"/>
    <w:semiHidden/>
    <w:rsid w:val="00993129"/>
    <w:pPr>
      <w:spacing w:after="0" w:line="240" w:lineRule="auto"/>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9"/>
    <w:rsid w:val="00290348"/>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425">
      <w:bodyDiv w:val="1"/>
      <w:marLeft w:val="0"/>
      <w:marRight w:val="0"/>
      <w:marTop w:val="0"/>
      <w:marBottom w:val="0"/>
      <w:divBdr>
        <w:top w:val="none" w:sz="0" w:space="0" w:color="auto"/>
        <w:left w:val="none" w:sz="0" w:space="0" w:color="auto"/>
        <w:bottom w:val="none" w:sz="0" w:space="0" w:color="auto"/>
        <w:right w:val="none" w:sz="0" w:space="0" w:color="auto"/>
      </w:divBdr>
    </w:div>
    <w:div w:id="20516653">
      <w:bodyDiv w:val="1"/>
      <w:marLeft w:val="0"/>
      <w:marRight w:val="0"/>
      <w:marTop w:val="0"/>
      <w:marBottom w:val="0"/>
      <w:divBdr>
        <w:top w:val="none" w:sz="0" w:space="0" w:color="auto"/>
        <w:left w:val="none" w:sz="0" w:space="0" w:color="auto"/>
        <w:bottom w:val="none" w:sz="0" w:space="0" w:color="auto"/>
        <w:right w:val="none" w:sz="0" w:space="0" w:color="auto"/>
      </w:divBdr>
    </w:div>
    <w:div w:id="23214129">
      <w:bodyDiv w:val="1"/>
      <w:marLeft w:val="0"/>
      <w:marRight w:val="0"/>
      <w:marTop w:val="0"/>
      <w:marBottom w:val="0"/>
      <w:divBdr>
        <w:top w:val="none" w:sz="0" w:space="0" w:color="auto"/>
        <w:left w:val="none" w:sz="0" w:space="0" w:color="auto"/>
        <w:bottom w:val="none" w:sz="0" w:space="0" w:color="auto"/>
        <w:right w:val="none" w:sz="0" w:space="0" w:color="auto"/>
      </w:divBdr>
    </w:div>
    <w:div w:id="45958603">
      <w:bodyDiv w:val="1"/>
      <w:marLeft w:val="0"/>
      <w:marRight w:val="0"/>
      <w:marTop w:val="0"/>
      <w:marBottom w:val="0"/>
      <w:divBdr>
        <w:top w:val="none" w:sz="0" w:space="0" w:color="auto"/>
        <w:left w:val="none" w:sz="0" w:space="0" w:color="auto"/>
        <w:bottom w:val="none" w:sz="0" w:space="0" w:color="auto"/>
        <w:right w:val="none" w:sz="0" w:space="0" w:color="auto"/>
      </w:divBdr>
    </w:div>
    <w:div w:id="70390103">
      <w:bodyDiv w:val="1"/>
      <w:marLeft w:val="0"/>
      <w:marRight w:val="0"/>
      <w:marTop w:val="0"/>
      <w:marBottom w:val="0"/>
      <w:divBdr>
        <w:top w:val="none" w:sz="0" w:space="0" w:color="auto"/>
        <w:left w:val="none" w:sz="0" w:space="0" w:color="auto"/>
        <w:bottom w:val="none" w:sz="0" w:space="0" w:color="auto"/>
        <w:right w:val="none" w:sz="0" w:space="0" w:color="auto"/>
      </w:divBdr>
    </w:div>
    <w:div w:id="80689914">
      <w:bodyDiv w:val="1"/>
      <w:marLeft w:val="0"/>
      <w:marRight w:val="0"/>
      <w:marTop w:val="0"/>
      <w:marBottom w:val="0"/>
      <w:divBdr>
        <w:top w:val="none" w:sz="0" w:space="0" w:color="auto"/>
        <w:left w:val="none" w:sz="0" w:space="0" w:color="auto"/>
        <w:bottom w:val="none" w:sz="0" w:space="0" w:color="auto"/>
        <w:right w:val="none" w:sz="0" w:space="0" w:color="auto"/>
      </w:divBdr>
    </w:div>
    <w:div w:id="111874371">
      <w:bodyDiv w:val="1"/>
      <w:marLeft w:val="0"/>
      <w:marRight w:val="0"/>
      <w:marTop w:val="0"/>
      <w:marBottom w:val="0"/>
      <w:divBdr>
        <w:top w:val="none" w:sz="0" w:space="0" w:color="auto"/>
        <w:left w:val="none" w:sz="0" w:space="0" w:color="auto"/>
        <w:bottom w:val="none" w:sz="0" w:space="0" w:color="auto"/>
        <w:right w:val="none" w:sz="0" w:space="0" w:color="auto"/>
      </w:divBdr>
    </w:div>
    <w:div w:id="191498664">
      <w:bodyDiv w:val="1"/>
      <w:marLeft w:val="0"/>
      <w:marRight w:val="0"/>
      <w:marTop w:val="0"/>
      <w:marBottom w:val="0"/>
      <w:divBdr>
        <w:top w:val="none" w:sz="0" w:space="0" w:color="auto"/>
        <w:left w:val="none" w:sz="0" w:space="0" w:color="auto"/>
        <w:bottom w:val="none" w:sz="0" w:space="0" w:color="auto"/>
        <w:right w:val="none" w:sz="0" w:space="0" w:color="auto"/>
      </w:divBdr>
    </w:div>
    <w:div w:id="200016157">
      <w:bodyDiv w:val="1"/>
      <w:marLeft w:val="0"/>
      <w:marRight w:val="0"/>
      <w:marTop w:val="0"/>
      <w:marBottom w:val="0"/>
      <w:divBdr>
        <w:top w:val="none" w:sz="0" w:space="0" w:color="auto"/>
        <w:left w:val="none" w:sz="0" w:space="0" w:color="auto"/>
        <w:bottom w:val="none" w:sz="0" w:space="0" w:color="auto"/>
        <w:right w:val="none" w:sz="0" w:space="0" w:color="auto"/>
      </w:divBdr>
    </w:div>
    <w:div w:id="206264725">
      <w:bodyDiv w:val="1"/>
      <w:marLeft w:val="0"/>
      <w:marRight w:val="0"/>
      <w:marTop w:val="0"/>
      <w:marBottom w:val="0"/>
      <w:divBdr>
        <w:top w:val="none" w:sz="0" w:space="0" w:color="auto"/>
        <w:left w:val="none" w:sz="0" w:space="0" w:color="auto"/>
        <w:bottom w:val="none" w:sz="0" w:space="0" w:color="auto"/>
        <w:right w:val="none" w:sz="0" w:space="0" w:color="auto"/>
      </w:divBdr>
    </w:div>
    <w:div w:id="206525760">
      <w:bodyDiv w:val="1"/>
      <w:marLeft w:val="0"/>
      <w:marRight w:val="0"/>
      <w:marTop w:val="0"/>
      <w:marBottom w:val="0"/>
      <w:divBdr>
        <w:top w:val="none" w:sz="0" w:space="0" w:color="auto"/>
        <w:left w:val="none" w:sz="0" w:space="0" w:color="auto"/>
        <w:bottom w:val="none" w:sz="0" w:space="0" w:color="auto"/>
        <w:right w:val="none" w:sz="0" w:space="0" w:color="auto"/>
      </w:divBdr>
    </w:div>
    <w:div w:id="217202504">
      <w:bodyDiv w:val="1"/>
      <w:marLeft w:val="0"/>
      <w:marRight w:val="0"/>
      <w:marTop w:val="0"/>
      <w:marBottom w:val="0"/>
      <w:divBdr>
        <w:top w:val="none" w:sz="0" w:space="0" w:color="auto"/>
        <w:left w:val="none" w:sz="0" w:space="0" w:color="auto"/>
        <w:bottom w:val="none" w:sz="0" w:space="0" w:color="auto"/>
        <w:right w:val="none" w:sz="0" w:space="0" w:color="auto"/>
      </w:divBdr>
    </w:div>
    <w:div w:id="230703656">
      <w:bodyDiv w:val="1"/>
      <w:marLeft w:val="0"/>
      <w:marRight w:val="0"/>
      <w:marTop w:val="0"/>
      <w:marBottom w:val="0"/>
      <w:divBdr>
        <w:top w:val="none" w:sz="0" w:space="0" w:color="auto"/>
        <w:left w:val="none" w:sz="0" w:space="0" w:color="auto"/>
        <w:bottom w:val="none" w:sz="0" w:space="0" w:color="auto"/>
        <w:right w:val="none" w:sz="0" w:space="0" w:color="auto"/>
      </w:divBdr>
    </w:div>
    <w:div w:id="234703460">
      <w:bodyDiv w:val="1"/>
      <w:marLeft w:val="0"/>
      <w:marRight w:val="0"/>
      <w:marTop w:val="0"/>
      <w:marBottom w:val="0"/>
      <w:divBdr>
        <w:top w:val="none" w:sz="0" w:space="0" w:color="auto"/>
        <w:left w:val="none" w:sz="0" w:space="0" w:color="auto"/>
        <w:bottom w:val="none" w:sz="0" w:space="0" w:color="auto"/>
        <w:right w:val="none" w:sz="0" w:space="0" w:color="auto"/>
      </w:divBdr>
    </w:div>
    <w:div w:id="235866658">
      <w:bodyDiv w:val="1"/>
      <w:marLeft w:val="0"/>
      <w:marRight w:val="0"/>
      <w:marTop w:val="0"/>
      <w:marBottom w:val="0"/>
      <w:divBdr>
        <w:top w:val="none" w:sz="0" w:space="0" w:color="auto"/>
        <w:left w:val="none" w:sz="0" w:space="0" w:color="auto"/>
        <w:bottom w:val="none" w:sz="0" w:space="0" w:color="auto"/>
        <w:right w:val="none" w:sz="0" w:space="0" w:color="auto"/>
      </w:divBdr>
    </w:div>
    <w:div w:id="254557342">
      <w:bodyDiv w:val="1"/>
      <w:marLeft w:val="0"/>
      <w:marRight w:val="0"/>
      <w:marTop w:val="0"/>
      <w:marBottom w:val="0"/>
      <w:divBdr>
        <w:top w:val="none" w:sz="0" w:space="0" w:color="auto"/>
        <w:left w:val="none" w:sz="0" w:space="0" w:color="auto"/>
        <w:bottom w:val="none" w:sz="0" w:space="0" w:color="auto"/>
        <w:right w:val="none" w:sz="0" w:space="0" w:color="auto"/>
      </w:divBdr>
    </w:div>
    <w:div w:id="262805807">
      <w:bodyDiv w:val="1"/>
      <w:marLeft w:val="0"/>
      <w:marRight w:val="0"/>
      <w:marTop w:val="0"/>
      <w:marBottom w:val="0"/>
      <w:divBdr>
        <w:top w:val="none" w:sz="0" w:space="0" w:color="auto"/>
        <w:left w:val="none" w:sz="0" w:space="0" w:color="auto"/>
        <w:bottom w:val="none" w:sz="0" w:space="0" w:color="auto"/>
        <w:right w:val="none" w:sz="0" w:space="0" w:color="auto"/>
      </w:divBdr>
    </w:div>
    <w:div w:id="271478685">
      <w:bodyDiv w:val="1"/>
      <w:marLeft w:val="0"/>
      <w:marRight w:val="0"/>
      <w:marTop w:val="0"/>
      <w:marBottom w:val="0"/>
      <w:divBdr>
        <w:top w:val="none" w:sz="0" w:space="0" w:color="auto"/>
        <w:left w:val="none" w:sz="0" w:space="0" w:color="auto"/>
        <w:bottom w:val="none" w:sz="0" w:space="0" w:color="auto"/>
        <w:right w:val="none" w:sz="0" w:space="0" w:color="auto"/>
      </w:divBdr>
    </w:div>
    <w:div w:id="279919577">
      <w:bodyDiv w:val="1"/>
      <w:marLeft w:val="0"/>
      <w:marRight w:val="0"/>
      <w:marTop w:val="0"/>
      <w:marBottom w:val="0"/>
      <w:divBdr>
        <w:top w:val="none" w:sz="0" w:space="0" w:color="auto"/>
        <w:left w:val="none" w:sz="0" w:space="0" w:color="auto"/>
        <w:bottom w:val="none" w:sz="0" w:space="0" w:color="auto"/>
        <w:right w:val="none" w:sz="0" w:space="0" w:color="auto"/>
      </w:divBdr>
    </w:div>
    <w:div w:id="282731220">
      <w:bodyDiv w:val="1"/>
      <w:marLeft w:val="0"/>
      <w:marRight w:val="0"/>
      <w:marTop w:val="0"/>
      <w:marBottom w:val="0"/>
      <w:divBdr>
        <w:top w:val="none" w:sz="0" w:space="0" w:color="auto"/>
        <w:left w:val="none" w:sz="0" w:space="0" w:color="auto"/>
        <w:bottom w:val="none" w:sz="0" w:space="0" w:color="auto"/>
        <w:right w:val="none" w:sz="0" w:space="0" w:color="auto"/>
      </w:divBdr>
    </w:div>
    <w:div w:id="292255344">
      <w:bodyDiv w:val="1"/>
      <w:marLeft w:val="0"/>
      <w:marRight w:val="0"/>
      <w:marTop w:val="0"/>
      <w:marBottom w:val="0"/>
      <w:divBdr>
        <w:top w:val="none" w:sz="0" w:space="0" w:color="auto"/>
        <w:left w:val="none" w:sz="0" w:space="0" w:color="auto"/>
        <w:bottom w:val="none" w:sz="0" w:space="0" w:color="auto"/>
        <w:right w:val="none" w:sz="0" w:space="0" w:color="auto"/>
      </w:divBdr>
    </w:div>
    <w:div w:id="314186488">
      <w:bodyDiv w:val="1"/>
      <w:marLeft w:val="0"/>
      <w:marRight w:val="0"/>
      <w:marTop w:val="0"/>
      <w:marBottom w:val="0"/>
      <w:divBdr>
        <w:top w:val="none" w:sz="0" w:space="0" w:color="auto"/>
        <w:left w:val="none" w:sz="0" w:space="0" w:color="auto"/>
        <w:bottom w:val="none" w:sz="0" w:space="0" w:color="auto"/>
        <w:right w:val="none" w:sz="0" w:space="0" w:color="auto"/>
      </w:divBdr>
    </w:div>
    <w:div w:id="329986026">
      <w:bodyDiv w:val="1"/>
      <w:marLeft w:val="0"/>
      <w:marRight w:val="0"/>
      <w:marTop w:val="0"/>
      <w:marBottom w:val="0"/>
      <w:divBdr>
        <w:top w:val="none" w:sz="0" w:space="0" w:color="auto"/>
        <w:left w:val="none" w:sz="0" w:space="0" w:color="auto"/>
        <w:bottom w:val="none" w:sz="0" w:space="0" w:color="auto"/>
        <w:right w:val="none" w:sz="0" w:space="0" w:color="auto"/>
      </w:divBdr>
    </w:div>
    <w:div w:id="347756998">
      <w:bodyDiv w:val="1"/>
      <w:marLeft w:val="0"/>
      <w:marRight w:val="0"/>
      <w:marTop w:val="0"/>
      <w:marBottom w:val="0"/>
      <w:divBdr>
        <w:top w:val="none" w:sz="0" w:space="0" w:color="auto"/>
        <w:left w:val="none" w:sz="0" w:space="0" w:color="auto"/>
        <w:bottom w:val="none" w:sz="0" w:space="0" w:color="auto"/>
        <w:right w:val="none" w:sz="0" w:space="0" w:color="auto"/>
      </w:divBdr>
    </w:div>
    <w:div w:id="385180396">
      <w:bodyDiv w:val="1"/>
      <w:marLeft w:val="0"/>
      <w:marRight w:val="0"/>
      <w:marTop w:val="0"/>
      <w:marBottom w:val="0"/>
      <w:divBdr>
        <w:top w:val="none" w:sz="0" w:space="0" w:color="auto"/>
        <w:left w:val="none" w:sz="0" w:space="0" w:color="auto"/>
        <w:bottom w:val="none" w:sz="0" w:space="0" w:color="auto"/>
        <w:right w:val="none" w:sz="0" w:space="0" w:color="auto"/>
      </w:divBdr>
    </w:div>
    <w:div w:id="394746158">
      <w:bodyDiv w:val="1"/>
      <w:marLeft w:val="0"/>
      <w:marRight w:val="0"/>
      <w:marTop w:val="0"/>
      <w:marBottom w:val="0"/>
      <w:divBdr>
        <w:top w:val="none" w:sz="0" w:space="0" w:color="auto"/>
        <w:left w:val="none" w:sz="0" w:space="0" w:color="auto"/>
        <w:bottom w:val="none" w:sz="0" w:space="0" w:color="auto"/>
        <w:right w:val="none" w:sz="0" w:space="0" w:color="auto"/>
      </w:divBdr>
    </w:div>
    <w:div w:id="411583444">
      <w:bodyDiv w:val="1"/>
      <w:marLeft w:val="0"/>
      <w:marRight w:val="0"/>
      <w:marTop w:val="0"/>
      <w:marBottom w:val="0"/>
      <w:divBdr>
        <w:top w:val="none" w:sz="0" w:space="0" w:color="auto"/>
        <w:left w:val="none" w:sz="0" w:space="0" w:color="auto"/>
        <w:bottom w:val="none" w:sz="0" w:space="0" w:color="auto"/>
        <w:right w:val="none" w:sz="0" w:space="0" w:color="auto"/>
      </w:divBdr>
    </w:div>
    <w:div w:id="416560670">
      <w:bodyDiv w:val="1"/>
      <w:marLeft w:val="0"/>
      <w:marRight w:val="0"/>
      <w:marTop w:val="0"/>
      <w:marBottom w:val="0"/>
      <w:divBdr>
        <w:top w:val="none" w:sz="0" w:space="0" w:color="auto"/>
        <w:left w:val="none" w:sz="0" w:space="0" w:color="auto"/>
        <w:bottom w:val="none" w:sz="0" w:space="0" w:color="auto"/>
        <w:right w:val="none" w:sz="0" w:space="0" w:color="auto"/>
      </w:divBdr>
    </w:div>
    <w:div w:id="467940420">
      <w:bodyDiv w:val="1"/>
      <w:marLeft w:val="0"/>
      <w:marRight w:val="0"/>
      <w:marTop w:val="0"/>
      <w:marBottom w:val="0"/>
      <w:divBdr>
        <w:top w:val="none" w:sz="0" w:space="0" w:color="auto"/>
        <w:left w:val="none" w:sz="0" w:space="0" w:color="auto"/>
        <w:bottom w:val="none" w:sz="0" w:space="0" w:color="auto"/>
        <w:right w:val="none" w:sz="0" w:space="0" w:color="auto"/>
      </w:divBdr>
    </w:div>
    <w:div w:id="523058091">
      <w:bodyDiv w:val="1"/>
      <w:marLeft w:val="0"/>
      <w:marRight w:val="0"/>
      <w:marTop w:val="0"/>
      <w:marBottom w:val="0"/>
      <w:divBdr>
        <w:top w:val="none" w:sz="0" w:space="0" w:color="auto"/>
        <w:left w:val="none" w:sz="0" w:space="0" w:color="auto"/>
        <w:bottom w:val="none" w:sz="0" w:space="0" w:color="auto"/>
        <w:right w:val="none" w:sz="0" w:space="0" w:color="auto"/>
      </w:divBdr>
    </w:div>
    <w:div w:id="531578506">
      <w:bodyDiv w:val="1"/>
      <w:marLeft w:val="0"/>
      <w:marRight w:val="0"/>
      <w:marTop w:val="0"/>
      <w:marBottom w:val="0"/>
      <w:divBdr>
        <w:top w:val="none" w:sz="0" w:space="0" w:color="auto"/>
        <w:left w:val="none" w:sz="0" w:space="0" w:color="auto"/>
        <w:bottom w:val="none" w:sz="0" w:space="0" w:color="auto"/>
        <w:right w:val="none" w:sz="0" w:space="0" w:color="auto"/>
      </w:divBdr>
    </w:div>
    <w:div w:id="552548097">
      <w:bodyDiv w:val="1"/>
      <w:marLeft w:val="0"/>
      <w:marRight w:val="0"/>
      <w:marTop w:val="0"/>
      <w:marBottom w:val="0"/>
      <w:divBdr>
        <w:top w:val="none" w:sz="0" w:space="0" w:color="auto"/>
        <w:left w:val="none" w:sz="0" w:space="0" w:color="auto"/>
        <w:bottom w:val="none" w:sz="0" w:space="0" w:color="auto"/>
        <w:right w:val="none" w:sz="0" w:space="0" w:color="auto"/>
      </w:divBdr>
    </w:div>
    <w:div w:id="558904555">
      <w:bodyDiv w:val="1"/>
      <w:marLeft w:val="0"/>
      <w:marRight w:val="0"/>
      <w:marTop w:val="0"/>
      <w:marBottom w:val="0"/>
      <w:divBdr>
        <w:top w:val="none" w:sz="0" w:space="0" w:color="auto"/>
        <w:left w:val="none" w:sz="0" w:space="0" w:color="auto"/>
        <w:bottom w:val="none" w:sz="0" w:space="0" w:color="auto"/>
        <w:right w:val="none" w:sz="0" w:space="0" w:color="auto"/>
      </w:divBdr>
    </w:div>
    <w:div w:id="564730245">
      <w:bodyDiv w:val="1"/>
      <w:marLeft w:val="0"/>
      <w:marRight w:val="0"/>
      <w:marTop w:val="0"/>
      <w:marBottom w:val="0"/>
      <w:divBdr>
        <w:top w:val="none" w:sz="0" w:space="0" w:color="auto"/>
        <w:left w:val="none" w:sz="0" w:space="0" w:color="auto"/>
        <w:bottom w:val="none" w:sz="0" w:space="0" w:color="auto"/>
        <w:right w:val="none" w:sz="0" w:space="0" w:color="auto"/>
      </w:divBdr>
    </w:div>
    <w:div w:id="576522213">
      <w:bodyDiv w:val="1"/>
      <w:marLeft w:val="0"/>
      <w:marRight w:val="0"/>
      <w:marTop w:val="0"/>
      <w:marBottom w:val="0"/>
      <w:divBdr>
        <w:top w:val="none" w:sz="0" w:space="0" w:color="auto"/>
        <w:left w:val="none" w:sz="0" w:space="0" w:color="auto"/>
        <w:bottom w:val="none" w:sz="0" w:space="0" w:color="auto"/>
        <w:right w:val="none" w:sz="0" w:space="0" w:color="auto"/>
      </w:divBdr>
    </w:div>
    <w:div w:id="593131501">
      <w:bodyDiv w:val="1"/>
      <w:marLeft w:val="0"/>
      <w:marRight w:val="0"/>
      <w:marTop w:val="0"/>
      <w:marBottom w:val="0"/>
      <w:divBdr>
        <w:top w:val="none" w:sz="0" w:space="0" w:color="auto"/>
        <w:left w:val="none" w:sz="0" w:space="0" w:color="auto"/>
        <w:bottom w:val="none" w:sz="0" w:space="0" w:color="auto"/>
        <w:right w:val="none" w:sz="0" w:space="0" w:color="auto"/>
      </w:divBdr>
    </w:div>
    <w:div w:id="611397508">
      <w:bodyDiv w:val="1"/>
      <w:marLeft w:val="0"/>
      <w:marRight w:val="0"/>
      <w:marTop w:val="0"/>
      <w:marBottom w:val="0"/>
      <w:divBdr>
        <w:top w:val="none" w:sz="0" w:space="0" w:color="auto"/>
        <w:left w:val="none" w:sz="0" w:space="0" w:color="auto"/>
        <w:bottom w:val="none" w:sz="0" w:space="0" w:color="auto"/>
        <w:right w:val="none" w:sz="0" w:space="0" w:color="auto"/>
      </w:divBdr>
    </w:div>
    <w:div w:id="628707527">
      <w:bodyDiv w:val="1"/>
      <w:marLeft w:val="0"/>
      <w:marRight w:val="0"/>
      <w:marTop w:val="0"/>
      <w:marBottom w:val="0"/>
      <w:divBdr>
        <w:top w:val="none" w:sz="0" w:space="0" w:color="auto"/>
        <w:left w:val="none" w:sz="0" w:space="0" w:color="auto"/>
        <w:bottom w:val="none" w:sz="0" w:space="0" w:color="auto"/>
        <w:right w:val="none" w:sz="0" w:space="0" w:color="auto"/>
      </w:divBdr>
    </w:div>
    <w:div w:id="642732228">
      <w:bodyDiv w:val="1"/>
      <w:marLeft w:val="0"/>
      <w:marRight w:val="0"/>
      <w:marTop w:val="0"/>
      <w:marBottom w:val="0"/>
      <w:divBdr>
        <w:top w:val="none" w:sz="0" w:space="0" w:color="auto"/>
        <w:left w:val="none" w:sz="0" w:space="0" w:color="auto"/>
        <w:bottom w:val="none" w:sz="0" w:space="0" w:color="auto"/>
        <w:right w:val="none" w:sz="0" w:space="0" w:color="auto"/>
      </w:divBdr>
    </w:div>
    <w:div w:id="653293729">
      <w:bodyDiv w:val="1"/>
      <w:marLeft w:val="0"/>
      <w:marRight w:val="0"/>
      <w:marTop w:val="0"/>
      <w:marBottom w:val="0"/>
      <w:divBdr>
        <w:top w:val="none" w:sz="0" w:space="0" w:color="auto"/>
        <w:left w:val="none" w:sz="0" w:space="0" w:color="auto"/>
        <w:bottom w:val="none" w:sz="0" w:space="0" w:color="auto"/>
        <w:right w:val="none" w:sz="0" w:space="0" w:color="auto"/>
      </w:divBdr>
    </w:div>
    <w:div w:id="689839033">
      <w:bodyDiv w:val="1"/>
      <w:marLeft w:val="0"/>
      <w:marRight w:val="0"/>
      <w:marTop w:val="0"/>
      <w:marBottom w:val="0"/>
      <w:divBdr>
        <w:top w:val="none" w:sz="0" w:space="0" w:color="auto"/>
        <w:left w:val="none" w:sz="0" w:space="0" w:color="auto"/>
        <w:bottom w:val="none" w:sz="0" w:space="0" w:color="auto"/>
        <w:right w:val="none" w:sz="0" w:space="0" w:color="auto"/>
      </w:divBdr>
    </w:div>
    <w:div w:id="691107988">
      <w:bodyDiv w:val="1"/>
      <w:marLeft w:val="0"/>
      <w:marRight w:val="0"/>
      <w:marTop w:val="0"/>
      <w:marBottom w:val="0"/>
      <w:divBdr>
        <w:top w:val="none" w:sz="0" w:space="0" w:color="auto"/>
        <w:left w:val="none" w:sz="0" w:space="0" w:color="auto"/>
        <w:bottom w:val="none" w:sz="0" w:space="0" w:color="auto"/>
        <w:right w:val="none" w:sz="0" w:space="0" w:color="auto"/>
      </w:divBdr>
    </w:div>
    <w:div w:id="698817988">
      <w:bodyDiv w:val="1"/>
      <w:marLeft w:val="0"/>
      <w:marRight w:val="0"/>
      <w:marTop w:val="0"/>
      <w:marBottom w:val="0"/>
      <w:divBdr>
        <w:top w:val="none" w:sz="0" w:space="0" w:color="auto"/>
        <w:left w:val="none" w:sz="0" w:space="0" w:color="auto"/>
        <w:bottom w:val="none" w:sz="0" w:space="0" w:color="auto"/>
        <w:right w:val="none" w:sz="0" w:space="0" w:color="auto"/>
      </w:divBdr>
    </w:div>
    <w:div w:id="708140312">
      <w:bodyDiv w:val="1"/>
      <w:marLeft w:val="0"/>
      <w:marRight w:val="0"/>
      <w:marTop w:val="0"/>
      <w:marBottom w:val="0"/>
      <w:divBdr>
        <w:top w:val="none" w:sz="0" w:space="0" w:color="auto"/>
        <w:left w:val="none" w:sz="0" w:space="0" w:color="auto"/>
        <w:bottom w:val="none" w:sz="0" w:space="0" w:color="auto"/>
        <w:right w:val="none" w:sz="0" w:space="0" w:color="auto"/>
      </w:divBdr>
    </w:div>
    <w:div w:id="730662936">
      <w:bodyDiv w:val="1"/>
      <w:marLeft w:val="0"/>
      <w:marRight w:val="0"/>
      <w:marTop w:val="0"/>
      <w:marBottom w:val="0"/>
      <w:divBdr>
        <w:top w:val="none" w:sz="0" w:space="0" w:color="auto"/>
        <w:left w:val="none" w:sz="0" w:space="0" w:color="auto"/>
        <w:bottom w:val="none" w:sz="0" w:space="0" w:color="auto"/>
        <w:right w:val="none" w:sz="0" w:space="0" w:color="auto"/>
      </w:divBdr>
    </w:div>
    <w:div w:id="743799457">
      <w:bodyDiv w:val="1"/>
      <w:marLeft w:val="0"/>
      <w:marRight w:val="0"/>
      <w:marTop w:val="0"/>
      <w:marBottom w:val="0"/>
      <w:divBdr>
        <w:top w:val="none" w:sz="0" w:space="0" w:color="auto"/>
        <w:left w:val="none" w:sz="0" w:space="0" w:color="auto"/>
        <w:bottom w:val="none" w:sz="0" w:space="0" w:color="auto"/>
        <w:right w:val="none" w:sz="0" w:space="0" w:color="auto"/>
      </w:divBdr>
    </w:div>
    <w:div w:id="750154995">
      <w:bodyDiv w:val="1"/>
      <w:marLeft w:val="0"/>
      <w:marRight w:val="0"/>
      <w:marTop w:val="0"/>
      <w:marBottom w:val="0"/>
      <w:divBdr>
        <w:top w:val="none" w:sz="0" w:space="0" w:color="auto"/>
        <w:left w:val="none" w:sz="0" w:space="0" w:color="auto"/>
        <w:bottom w:val="none" w:sz="0" w:space="0" w:color="auto"/>
        <w:right w:val="none" w:sz="0" w:space="0" w:color="auto"/>
      </w:divBdr>
    </w:div>
    <w:div w:id="775716009">
      <w:bodyDiv w:val="1"/>
      <w:marLeft w:val="0"/>
      <w:marRight w:val="0"/>
      <w:marTop w:val="0"/>
      <w:marBottom w:val="0"/>
      <w:divBdr>
        <w:top w:val="none" w:sz="0" w:space="0" w:color="auto"/>
        <w:left w:val="none" w:sz="0" w:space="0" w:color="auto"/>
        <w:bottom w:val="none" w:sz="0" w:space="0" w:color="auto"/>
        <w:right w:val="none" w:sz="0" w:space="0" w:color="auto"/>
      </w:divBdr>
    </w:div>
    <w:div w:id="778336081">
      <w:bodyDiv w:val="1"/>
      <w:marLeft w:val="0"/>
      <w:marRight w:val="0"/>
      <w:marTop w:val="0"/>
      <w:marBottom w:val="0"/>
      <w:divBdr>
        <w:top w:val="none" w:sz="0" w:space="0" w:color="auto"/>
        <w:left w:val="none" w:sz="0" w:space="0" w:color="auto"/>
        <w:bottom w:val="none" w:sz="0" w:space="0" w:color="auto"/>
        <w:right w:val="none" w:sz="0" w:space="0" w:color="auto"/>
      </w:divBdr>
    </w:div>
    <w:div w:id="794252120">
      <w:bodyDiv w:val="1"/>
      <w:marLeft w:val="0"/>
      <w:marRight w:val="0"/>
      <w:marTop w:val="0"/>
      <w:marBottom w:val="0"/>
      <w:divBdr>
        <w:top w:val="none" w:sz="0" w:space="0" w:color="auto"/>
        <w:left w:val="none" w:sz="0" w:space="0" w:color="auto"/>
        <w:bottom w:val="none" w:sz="0" w:space="0" w:color="auto"/>
        <w:right w:val="none" w:sz="0" w:space="0" w:color="auto"/>
      </w:divBdr>
    </w:div>
    <w:div w:id="818688189">
      <w:bodyDiv w:val="1"/>
      <w:marLeft w:val="0"/>
      <w:marRight w:val="0"/>
      <w:marTop w:val="0"/>
      <w:marBottom w:val="0"/>
      <w:divBdr>
        <w:top w:val="none" w:sz="0" w:space="0" w:color="auto"/>
        <w:left w:val="none" w:sz="0" w:space="0" w:color="auto"/>
        <w:bottom w:val="none" w:sz="0" w:space="0" w:color="auto"/>
        <w:right w:val="none" w:sz="0" w:space="0" w:color="auto"/>
      </w:divBdr>
    </w:div>
    <w:div w:id="819419483">
      <w:bodyDiv w:val="1"/>
      <w:marLeft w:val="0"/>
      <w:marRight w:val="0"/>
      <w:marTop w:val="0"/>
      <w:marBottom w:val="0"/>
      <w:divBdr>
        <w:top w:val="none" w:sz="0" w:space="0" w:color="auto"/>
        <w:left w:val="none" w:sz="0" w:space="0" w:color="auto"/>
        <w:bottom w:val="none" w:sz="0" w:space="0" w:color="auto"/>
        <w:right w:val="none" w:sz="0" w:space="0" w:color="auto"/>
      </w:divBdr>
    </w:div>
    <w:div w:id="851602671">
      <w:bodyDiv w:val="1"/>
      <w:marLeft w:val="0"/>
      <w:marRight w:val="0"/>
      <w:marTop w:val="0"/>
      <w:marBottom w:val="0"/>
      <w:divBdr>
        <w:top w:val="none" w:sz="0" w:space="0" w:color="auto"/>
        <w:left w:val="none" w:sz="0" w:space="0" w:color="auto"/>
        <w:bottom w:val="none" w:sz="0" w:space="0" w:color="auto"/>
        <w:right w:val="none" w:sz="0" w:space="0" w:color="auto"/>
      </w:divBdr>
    </w:div>
    <w:div w:id="854925869">
      <w:bodyDiv w:val="1"/>
      <w:marLeft w:val="0"/>
      <w:marRight w:val="0"/>
      <w:marTop w:val="0"/>
      <w:marBottom w:val="0"/>
      <w:divBdr>
        <w:top w:val="none" w:sz="0" w:space="0" w:color="auto"/>
        <w:left w:val="none" w:sz="0" w:space="0" w:color="auto"/>
        <w:bottom w:val="none" w:sz="0" w:space="0" w:color="auto"/>
        <w:right w:val="none" w:sz="0" w:space="0" w:color="auto"/>
      </w:divBdr>
    </w:div>
    <w:div w:id="933515208">
      <w:bodyDiv w:val="1"/>
      <w:marLeft w:val="0"/>
      <w:marRight w:val="0"/>
      <w:marTop w:val="0"/>
      <w:marBottom w:val="0"/>
      <w:divBdr>
        <w:top w:val="none" w:sz="0" w:space="0" w:color="auto"/>
        <w:left w:val="none" w:sz="0" w:space="0" w:color="auto"/>
        <w:bottom w:val="none" w:sz="0" w:space="0" w:color="auto"/>
        <w:right w:val="none" w:sz="0" w:space="0" w:color="auto"/>
      </w:divBdr>
    </w:div>
    <w:div w:id="978801348">
      <w:bodyDiv w:val="1"/>
      <w:marLeft w:val="0"/>
      <w:marRight w:val="0"/>
      <w:marTop w:val="0"/>
      <w:marBottom w:val="0"/>
      <w:divBdr>
        <w:top w:val="none" w:sz="0" w:space="0" w:color="auto"/>
        <w:left w:val="none" w:sz="0" w:space="0" w:color="auto"/>
        <w:bottom w:val="none" w:sz="0" w:space="0" w:color="auto"/>
        <w:right w:val="none" w:sz="0" w:space="0" w:color="auto"/>
      </w:divBdr>
    </w:div>
    <w:div w:id="982198407">
      <w:bodyDiv w:val="1"/>
      <w:marLeft w:val="0"/>
      <w:marRight w:val="0"/>
      <w:marTop w:val="0"/>
      <w:marBottom w:val="0"/>
      <w:divBdr>
        <w:top w:val="none" w:sz="0" w:space="0" w:color="auto"/>
        <w:left w:val="none" w:sz="0" w:space="0" w:color="auto"/>
        <w:bottom w:val="none" w:sz="0" w:space="0" w:color="auto"/>
        <w:right w:val="none" w:sz="0" w:space="0" w:color="auto"/>
      </w:divBdr>
    </w:div>
    <w:div w:id="982275411">
      <w:bodyDiv w:val="1"/>
      <w:marLeft w:val="0"/>
      <w:marRight w:val="0"/>
      <w:marTop w:val="0"/>
      <w:marBottom w:val="0"/>
      <w:divBdr>
        <w:top w:val="none" w:sz="0" w:space="0" w:color="auto"/>
        <w:left w:val="none" w:sz="0" w:space="0" w:color="auto"/>
        <w:bottom w:val="none" w:sz="0" w:space="0" w:color="auto"/>
        <w:right w:val="none" w:sz="0" w:space="0" w:color="auto"/>
      </w:divBdr>
    </w:div>
    <w:div w:id="1010525007">
      <w:bodyDiv w:val="1"/>
      <w:marLeft w:val="0"/>
      <w:marRight w:val="0"/>
      <w:marTop w:val="0"/>
      <w:marBottom w:val="0"/>
      <w:divBdr>
        <w:top w:val="none" w:sz="0" w:space="0" w:color="auto"/>
        <w:left w:val="none" w:sz="0" w:space="0" w:color="auto"/>
        <w:bottom w:val="none" w:sz="0" w:space="0" w:color="auto"/>
        <w:right w:val="none" w:sz="0" w:space="0" w:color="auto"/>
      </w:divBdr>
    </w:div>
    <w:div w:id="1079716594">
      <w:bodyDiv w:val="1"/>
      <w:marLeft w:val="0"/>
      <w:marRight w:val="0"/>
      <w:marTop w:val="0"/>
      <w:marBottom w:val="0"/>
      <w:divBdr>
        <w:top w:val="none" w:sz="0" w:space="0" w:color="auto"/>
        <w:left w:val="none" w:sz="0" w:space="0" w:color="auto"/>
        <w:bottom w:val="none" w:sz="0" w:space="0" w:color="auto"/>
        <w:right w:val="none" w:sz="0" w:space="0" w:color="auto"/>
      </w:divBdr>
    </w:div>
    <w:div w:id="1092168877">
      <w:bodyDiv w:val="1"/>
      <w:marLeft w:val="0"/>
      <w:marRight w:val="0"/>
      <w:marTop w:val="0"/>
      <w:marBottom w:val="0"/>
      <w:divBdr>
        <w:top w:val="none" w:sz="0" w:space="0" w:color="auto"/>
        <w:left w:val="none" w:sz="0" w:space="0" w:color="auto"/>
        <w:bottom w:val="none" w:sz="0" w:space="0" w:color="auto"/>
        <w:right w:val="none" w:sz="0" w:space="0" w:color="auto"/>
      </w:divBdr>
    </w:div>
    <w:div w:id="1097143421">
      <w:bodyDiv w:val="1"/>
      <w:marLeft w:val="0"/>
      <w:marRight w:val="0"/>
      <w:marTop w:val="0"/>
      <w:marBottom w:val="0"/>
      <w:divBdr>
        <w:top w:val="none" w:sz="0" w:space="0" w:color="auto"/>
        <w:left w:val="none" w:sz="0" w:space="0" w:color="auto"/>
        <w:bottom w:val="none" w:sz="0" w:space="0" w:color="auto"/>
        <w:right w:val="none" w:sz="0" w:space="0" w:color="auto"/>
      </w:divBdr>
    </w:div>
    <w:div w:id="1114210064">
      <w:bodyDiv w:val="1"/>
      <w:marLeft w:val="0"/>
      <w:marRight w:val="0"/>
      <w:marTop w:val="0"/>
      <w:marBottom w:val="0"/>
      <w:divBdr>
        <w:top w:val="none" w:sz="0" w:space="0" w:color="auto"/>
        <w:left w:val="none" w:sz="0" w:space="0" w:color="auto"/>
        <w:bottom w:val="none" w:sz="0" w:space="0" w:color="auto"/>
        <w:right w:val="none" w:sz="0" w:space="0" w:color="auto"/>
      </w:divBdr>
    </w:div>
    <w:div w:id="1150711272">
      <w:bodyDiv w:val="1"/>
      <w:marLeft w:val="0"/>
      <w:marRight w:val="0"/>
      <w:marTop w:val="0"/>
      <w:marBottom w:val="0"/>
      <w:divBdr>
        <w:top w:val="none" w:sz="0" w:space="0" w:color="auto"/>
        <w:left w:val="none" w:sz="0" w:space="0" w:color="auto"/>
        <w:bottom w:val="none" w:sz="0" w:space="0" w:color="auto"/>
        <w:right w:val="none" w:sz="0" w:space="0" w:color="auto"/>
      </w:divBdr>
    </w:div>
    <w:div w:id="1170176732">
      <w:bodyDiv w:val="1"/>
      <w:marLeft w:val="0"/>
      <w:marRight w:val="0"/>
      <w:marTop w:val="0"/>
      <w:marBottom w:val="0"/>
      <w:divBdr>
        <w:top w:val="none" w:sz="0" w:space="0" w:color="auto"/>
        <w:left w:val="none" w:sz="0" w:space="0" w:color="auto"/>
        <w:bottom w:val="none" w:sz="0" w:space="0" w:color="auto"/>
        <w:right w:val="none" w:sz="0" w:space="0" w:color="auto"/>
      </w:divBdr>
    </w:div>
    <w:div w:id="1171333241">
      <w:bodyDiv w:val="1"/>
      <w:marLeft w:val="0"/>
      <w:marRight w:val="0"/>
      <w:marTop w:val="0"/>
      <w:marBottom w:val="0"/>
      <w:divBdr>
        <w:top w:val="none" w:sz="0" w:space="0" w:color="auto"/>
        <w:left w:val="none" w:sz="0" w:space="0" w:color="auto"/>
        <w:bottom w:val="none" w:sz="0" w:space="0" w:color="auto"/>
        <w:right w:val="none" w:sz="0" w:space="0" w:color="auto"/>
      </w:divBdr>
    </w:div>
    <w:div w:id="1182553044">
      <w:bodyDiv w:val="1"/>
      <w:marLeft w:val="0"/>
      <w:marRight w:val="0"/>
      <w:marTop w:val="0"/>
      <w:marBottom w:val="0"/>
      <w:divBdr>
        <w:top w:val="none" w:sz="0" w:space="0" w:color="auto"/>
        <w:left w:val="none" w:sz="0" w:space="0" w:color="auto"/>
        <w:bottom w:val="none" w:sz="0" w:space="0" w:color="auto"/>
        <w:right w:val="none" w:sz="0" w:space="0" w:color="auto"/>
      </w:divBdr>
    </w:div>
    <w:div w:id="1183468991">
      <w:bodyDiv w:val="1"/>
      <w:marLeft w:val="0"/>
      <w:marRight w:val="0"/>
      <w:marTop w:val="0"/>
      <w:marBottom w:val="0"/>
      <w:divBdr>
        <w:top w:val="none" w:sz="0" w:space="0" w:color="auto"/>
        <w:left w:val="none" w:sz="0" w:space="0" w:color="auto"/>
        <w:bottom w:val="none" w:sz="0" w:space="0" w:color="auto"/>
        <w:right w:val="none" w:sz="0" w:space="0" w:color="auto"/>
      </w:divBdr>
    </w:div>
    <w:div w:id="1193810976">
      <w:bodyDiv w:val="1"/>
      <w:marLeft w:val="0"/>
      <w:marRight w:val="0"/>
      <w:marTop w:val="0"/>
      <w:marBottom w:val="0"/>
      <w:divBdr>
        <w:top w:val="none" w:sz="0" w:space="0" w:color="auto"/>
        <w:left w:val="none" w:sz="0" w:space="0" w:color="auto"/>
        <w:bottom w:val="none" w:sz="0" w:space="0" w:color="auto"/>
        <w:right w:val="none" w:sz="0" w:space="0" w:color="auto"/>
      </w:divBdr>
    </w:div>
    <w:div w:id="1236742207">
      <w:bodyDiv w:val="1"/>
      <w:marLeft w:val="0"/>
      <w:marRight w:val="0"/>
      <w:marTop w:val="0"/>
      <w:marBottom w:val="0"/>
      <w:divBdr>
        <w:top w:val="none" w:sz="0" w:space="0" w:color="auto"/>
        <w:left w:val="none" w:sz="0" w:space="0" w:color="auto"/>
        <w:bottom w:val="none" w:sz="0" w:space="0" w:color="auto"/>
        <w:right w:val="none" w:sz="0" w:space="0" w:color="auto"/>
      </w:divBdr>
    </w:div>
    <w:div w:id="1268733890">
      <w:bodyDiv w:val="1"/>
      <w:marLeft w:val="0"/>
      <w:marRight w:val="0"/>
      <w:marTop w:val="0"/>
      <w:marBottom w:val="0"/>
      <w:divBdr>
        <w:top w:val="none" w:sz="0" w:space="0" w:color="auto"/>
        <w:left w:val="none" w:sz="0" w:space="0" w:color="auto"/>
        <w:bottom w:val="none" w:sz="0" w:space="0" w:color="auto"/>
        <w:right w:val="none" w:sz="0" w:space="0" w:color="auto"/>
      </w:divBdr>
    </w:div>
    <w:div w:id="1285771174">
      <w:bodyDiv w:val="1"/>
      <w:marLeft w:val="0"/>
      <w:marRight w:val="0"/>
      <w:marTop w:val="0"/>
      <w:marBottom w:val="0"/>
      <w:divBdr>
        <w:top w:val="none" w:sz="0" w:space="0" w:color="auto"/>
        <w:left w:val="none" w:sz="0" w:space="0" w:color="auto"/>
        <w:bottom w:val="none" w:sz="0" w:space="0" w:color="auto"/>
        <w:right w:val="none" w:sz="0" w:space="0" w:color="auto"/>
      </w:divBdr>
    </w:div>
    <w:div w:id="1301351031">
      <w:bodyDiv w:val="1"/>
      <w:marLeft w:val="0"/>
      <w:marRight w:val="0"/>
      <w:marTop w:val="0"/>
      <w:marBottom w:val="0"/>
      <w:divBdr>
        <w:top w:val="none" w:sz="0" w:space="0" w:color="auto"/>
        <w:left w:val="none" w:sz="0" w:space="0" w:color="auto"/>
        <w:bottom w:val="none" w:sz="0" w:space="0" w:color="auto"/>
        <w:right w:val="none" w:sz="0" w:space="0" w:color="auto"/>
      </w:divBdr>
    </w:div>
    <w:div w:id="1318218959">
      <w:bodyDiv w:val="1"/>
      <w:marLeft w:val="0"/>
      <w:marRight w:val="0"/>
      <w:marTop w:val="0"/>
      <w:marBottom w:val="0"/>
      <w:divBdr>
        <w:top w:val="none" w:sz="0" w:space="0" w:color="auto"/>
        <w:left w:val="none" w:sz="0" w:space="0" w:color="auto"/>
        <w:bottom w:val="none" w:sz="0" w:space="0" w:color="auto"/>
        <w:right w:val="none" w:sz="0" w:space="0" w:color="auto"/>
      </w:divBdr>
    </w:div>
    <w:div w:id="1325015828">
      <w:bodyDiv w:val="1"/>
      <w:marLeft w:val="0"/>
      <w:marRight w:val="0"/>
      <w:marTop w:val="0"/>
      <w:marBottom w:val="0"/>
      <w:divBdr>
        <w:top w:val="none" w:sz="0" w:space="0" w:color="auto"/>
        <w:left w:val="none" w:sz="0" w:space="0" w:color="auto"/>
        <w:bottom w:val="none" w:sz="0" w:space="0" w:color="auto"/>
        <w:right w:val="none" w:sz="0" w:space="0" w:color="auto"/>
      </w:divBdr>
    </w:div>
    <w:div w:id="1347975109">
      <w:bodyDiv w:val="1"/>
      <w:marLeft w:val="0"/>
      <w:marRight w:val="0"/>
      <w:marTop w:val="0"/>
      <w:marBottom w:val="0"/>
      <w:divBdr>
        <w:top w:val="none" w:sz="0" w:space="0" w:color="auto"/>
        <w:left w:val="none" w:sz="0" w:space="0" w:color="auto"/>
        <w:bottom w:val="none" w:sz="0" w:space="0" w:color="auto"/>
        <w:right w:val="none" w:sz="0" w:space="0" w:color="auto"/>
      </w:divBdr>
    </w:div>
    <w:div w:id="1363360228">
      <w:bodyDiv w:val="1"/>
      <w:marLeft w:val="0"/>
      <w:marRight w:val="0"/>
      <w:marTop w:val="0"/>
      <w:marBottom w:val="0"/>
      <w:divBdr>
        <w:top w:val="none" w:sz="0" w:space="0" w:color="auto"/>
        <w:left w:val="none" w:sz="0" w:space="0" w:color="auto"/>
        <w:bottom w:val="none" w:sz="0" w:space="0" w:color="auto"/>
        <w:right w:val="none" w:sz="0" w:space="0" w:color="auto"/>
      </w:divBdr>
    </w:div>
    <w:div w:id="1389765920">
      <w:bodyDiv w:val="1"/>
      <w:marLeft w:val="0"/>
      <w:marRight w:val="0"/>
      <w:marTop w:val="0"/>
      <w:marBottom w:val="0"/>
      <w:divBdr>
        <w:top w:val="none" w:sz="0" w:space="0" w:color="auto"/>
        <w:left w:val="none" w:sz="0" w:space="0" w:color="auto"/>
        <w:bottom w:val="none" w:sz="0" w:space="0" w:color="auto"/>
        <w:right w:val="none" w:sz="0" w:space="0" w:color="auto"/>
      </w:divBdr>
      <w:divsChild>
        <w:div w:id="1323195694">
          <w:marLeft w:val="547"/>
          <w:marRight w:val="0"/>
          <w:marTop w:val="200"/>
          <w:marBottom w:val="0"/>
          <w:divBdr>
            <w:top w:val="none" w:sz="0" w:space="0" w:color="auto"/>
            <w:left w:val="none" w:sz="0" w:space="0" w:color="auto"/>
            <w:bottom w:val="none" w:sz="0" w:space="0" w:color="auto"/>
            <w:right w:val="none" w:sz="0" w:space="0" w:color="auto"/>
          </w:divBdr>
        </w:div>
        <w:div w:id="25760567">
          <w:marLeft w:val="547"/>
          <w:marRight w:val="0"/>
          <w:marTop w:val="200"/>
          <w:marBottom w:val="0"/>
          <w:divBdr>
            <w:top w:val="none" w:sz="0" w:space="0" w:color="auto"/>
            <w:left w:val="none" w:sz="0" w:space="0" w:color="auto"/>
            <w:bottom w:val="none" w:sz="0" w:space="0" w:color="auto"/>
            <w:right w:val="none" w:sz="0" w:space="0" w:color="auto"/>
          </w:divBdr>
        </w:div>
        <w:div w:id="279924090">
          <w:marLeft w:val="547"/>
          <w:marRight w:val="0"/>
          <w:marTop w:val="200"/>
          <w:marBottom w:val="0"/>
          <w:divBdr>
            <w:top w:val="none" w:sz="0" w:space="0" w:color="auto"/>
            <w:left w:val="none" w:sz="0" w:space="0" w:color="auto"/>
            <w:bottom w:val="none" w:sz="0" w:space="0" w:color="auto"/>
            <w:right w:val="none" w:sz="0" w:space="0" w:color="auto"/>
          </w:divBdr>
        </w:div>
      </w:divsChild>
    </w:div>
    <w:div w:id="1396657692">
      <w:bodyDiv w:val="1"/>
      <w:marLeft w:val="0"/>
      <w:marRight w:val="0"/>
      <w:marTop w:val="0"/>
      <w:marBottom w:val="0"/>
      <w:divBdr>
        <w:top w:val="none" w:sz="0" w:space="0" w:color="auto"/>
        <w:left w:val="none" w:sz="0" w:space="0" w:color="auto"/>
        <w:bottom w:val="none" w:sz="0" w:space="0" w:color="auto"/>
        <w:right w:val="none" w:sz="0" w:space="0" w:color="auto"/>
      </w:divBdr>
    </w:div>
    <w:div w:id="1411274887">
      <w:bodyDiv w:val="1"/>
      <w:marLeft w:val="0"/>
      <w:marRight w:val="0"/>
      <w:marTop w:val="0"/>
      <w:marBottom w:val="0"/>
      <w:divBdr>
        <w:top w:val="none" w:sz="0" w:space="0" w:color="auto"/>
        <w:left w:val="none" w:sz="0" w:space="0" w:color="auto"/>
        <w:bottom w:val="none" w:sz="0" w:space="0" w:color="auto"/>
        <w:right w:val="none" w:sz="0" w:space="0" w:color="auto"/>
      </w:divBdr>
    </w:div>
    <w:div w:id="1420642256">
      <w:bodyDiv w:val="1"/>
      <w:marLeft w:val="0"/>
      <w:marRight w:val="0"/>
      <w:marTop w:val="0"/>
      <w:marBottom w:val="0"/>
      <w:divBdr>
        <w:top w:val="none" w:sz="0" w:space="0" w:color="auto"/>
        <w:left w:val="none" w:sz="0" w:space="0" w:color="auto"/>
        <w:bottom w:val="none" w:sz="0" w:space="0" w:color="auto"/>
        <w:right w:val="none" w:sz="0" w:space="0" w:color="auto"/>
      </w:divBdr>
    </w:div>
    <w:div w:id="1435588395">
      <w:bodyDiv w:val="1"/>
      <w:marLeft w:val="0"/>
      <w:marRight w:val="0"/>
      <w:marTop w:val="0"/>
      <w:marBottom w:val="0"/>
      <w:divBdr>
        <w:top w:val="none" w:sz="0" w:space="0" w:color="auto"/>
        <w:left w:val="none" w:sz="0" w:space="0" w:color="auto"/>
        <w:bottom w:val="none" w:sz="0" w:space="0" w:color="auto"/>
        <w:right w:val="none" w:sz="0" w:space="0" w:color="auto"/>
      </w:divBdr>
    </w:div>
    <w:div w:id="1437409500">
      <w:bodyDiv w:val="1"/>
      <w:marLeft w:val="0"/>
      <w:marRight w:val="0"/>
      <w:marTop w:val="0"/>
      <w:marBottom w:val="0"/>
      <w:divBdr>
        <w:top w:val="none" w:sz="0" w:space="0" w:color="auto"/>
        <w:left w:val="none" w:sz="0" w:space="0" w:color="auto"/>
        <w:bottom w:val="none" w:sz="0" w:space="0" w:color="auto"/>
        <w:right w:val="none" w:sz="0" w:space="0" w:color="auto"/>
      </w:divBdr>
    </w:div>
    <w:div w:id="1453280431">
      <w:bodyDiv w:val="1"/>
      <w:marLeft w:val="0"/>
      <w:marRight w:val="0"/>
      <w:marTop w:val="0"/>
      <w:marBottom w:val="0"/>
      <w:divBdr>
        <w:top w:val="none" w:sz="0" w:space="0" w:color="auto"/>
        <w:left w:val="none" w:sz="0" w:space="0" w:color="auto"/>
        <w:bottom w:val="none" w:sz="0" w:space="0" w:color="auto"/>
        <w:right w:val="none" w:sz="0" w:space="0" w:color="auto"/>
      </w:divBdr>
    </w:div>
    <w:div w:id="1480228404">
      <w:bodyDiv w:val="1"/>
      <w:marLeft w:val="0"/>
      <w:marRight w:val="0"/>
      <w:marTop w:val="0"/>
      <w:marBottom w:val="0"/>
      <w:divBdr>
        <w:top w:val="none" w:sz="0" w:space="0" w:color="auto"/>
        <w:left w:val="none" w:sz="0" w:space="0" w:color="auto"/>
        <w:bottom w:val="none" w:sz="0" w:space="0" w:color="auto"/>
        <w:right w:val="none" w:sz="0" w:space="0" w:color="auto"/>
      </w:divBdr>
    </w:div>
    <w:div w:id="1540361728">
      <w:bodyDiv w:val="1"/>
      <w:marLeft w:val="0"/>
      <w:marRight w:val="0"/>
      <w:marTop w:val="0"/>
      <w:marBottom w:val="0"/>
      <w:divBdr>
        <w:top w:val="none" w:sz="0" w:space="0" w:color="auto"/>
        <w:left w:val="none" w:sz="0" w:space="0" w:color="auto"/>
        <w:bottom w:val="none" w:sz="0" w:space="0" w:color="auto"/>
        <w:right w:val="none" w:sz="0" w:space="0" w:color="auto"/>
      </w:divBdr>
    </w:div>
    <w:div w:id="1545219282">
      <w:bodyDiv w:val="1"/>
      <w:marLeft w:val="0"/>
      <w:marRight w:val="0"/>
      <w:marTop w:val="0"/>
      <w:marBottom w:val="0"/>
      <w:divBdr>
        <w:top w:val="none" w:sz="0" w:space="0" w:color="auto"/>
        <w:left w:val="none" w:sz="0" w:space="0" w:color="auto"/>
        <w:bottom w:val="none" w:sz="0" w:space="0" w:color="auto"/>
        <w:right w:val="none" w:sz="0" w:space="0" w:color="auto"/>
      </w:divBdr>
    </w:div>
    <w:div w:id="1554266922">
      <w:bodyDiv w:val="1"/>
      <w:marLeft w:val="0"/>
      <w:marRight w:val="0"/>
      <w:marTop w:val="0"/>
      <w:marBottom w:val="0"/>
      <w:divBdr>
        <w:top w:val="none" w:sz="0" w:space="0" w:color="auto"/>
        <w:left w:val="none" w:sz="0" w:space="0" w:color="auto"/>
        <w:bottom w:val="none" w:sz="0" w:space="0" w:color="auto"/>
        <w:right w:val="none" w:sz="0" w:space="0" w:color="auto"/>
      </w:divBdr>
    </w:div>
    <w:div w:id="1574002966">
      <w:bodyDiv w:val="1"/>
      <w:marLeft w:val="0"/>
      <w:marRight w:val="0"/>
      <w:marTop w:val="0"/>
      <w:marBottom w:val="0"/>
      <w:divBdr>
        <w:top w:val="none" w:sz="0" w:space="0" w:color="auto"/>
        <w:left w:val="none" w:sz="0" w:space="0" w:color="auto"/>
        <w:bottom w:val="none" w:sz="0" w:space="0" w:color="auto"/>
        <w:right w:val="none" w:sz="0" w:space="0" w:color="auto"/>
      </w:divBdr>
    </w:div>
    <w:div w:id="1577089531">
      <w:bodyDiv w:val="1"/>
      <w:marLeft w:val="0"/>
      <w:marRight w:val="0"/>
      <w:marTop w:val="0"/>
      <w:marBottom w:val="0"/>
      <w:divBdr>
        <w:top w:val="none" w:sz="0" w:space="0" w:color="auto"/>
        <w:left w:val="none" w:sz="0" w:space="0" w:color="auto"/>
        <w:bottom w:val="none" w:sz="0" w:space="0" w:color="auto"/>
        <w:right w:val="none" w:sz="0" w:space="0" w:color="auto"/>
      </w:divBdr>
    </w:div>
    <w:div w:id="1596355866">
      <w:bodyDiv w:val="1"/>
      <w:marLeft w:val="0"/>
      <w:marRight w:val="0"/>
      <w:marTop w:val="0"/>
      <w:marBottom w:val="0"/>
      <w:divBdr>
        <w:top w:val="none" w:sz="0" w:space="0" w:color="auto"/>
        <w:left w:val="none" w:sz="0" w:space="0" w:color="auto"/>
        <w:bottom w:val="none" w:sz="0" w:space="0" w:color="auto"/>
        <w:right w:val="none" w:sz="0" w:space="0" w:color="auto"/>
      </w:divBdr>
    </w:div>
    <w:div w:id="1649624864">
      <w:bodyDiv w:val="1"/>
      <w:marLeft w:val="0"/>
      <w:marRight w:val="0"/>
      <w:marTop w:val="0"/>
      <w:marBottom w:val="0"/>
      <w:divBdr>
        <w:top w:val="none" w:sz="0" w:space="0" w:color="auto"/>
        <w:left w:val="none" w:sz="0" w:space="0" w:color="auto"/>
        <w:bottom w:val="none" w:sz="0" w:space="0" w:color="auto"/>
        <w:right w:val="none" w:sz="0" w:space="0" w:color="auto"/>
      </w:divBdr>
    </w:div>
    <w:div w:id="1656227874">
      <w:bodyDiv w:val="1"/>
      <w:marLeft w:val="0"/>
      <w:marRight w:val="0"/>
      <w:marTop w:val="0"/>
      <w:marBottom w:val="0"/>
      <w:divBdr>
        <w:top w:val="none" w:sz="0" w:space="0" w:color="auto"/>
        <w:left w:val="none" w:sz="0" w:space="0" w:color="auto"/>
        <w:bottom w:val="none" w:sz="0" w:space="0" w:color="auto"/>
        <w:right w:val="none" w:sz="0" w:space="0" w:color="auto"/>
      </w:divBdr>
    </w:div>
    <w:div w:id="1668754110">
      <w:bodyDiv w:val="1"/>
      <w:marLeft w:val="0"/>
      <w:marRight w:val="0"/>
      <w:marTop w:val="0"/>
      <w:marBottom w:val="0"/>
      <w:divBdr>
        <w:top w:val="none" w:sz="0" w:space="0" w:color="auto"/>
        <w:left w:val="none" w:sz="0" w:space="0" w:color="auto"/>
        <w:bottom w:val="none" w:sz="0" w:space="0" w:color="auto"/>
        <w:right w:val="none" w:sz="0" w:space="0" w:color="auto"/>
      </w:divBdr>
    </w:div>
    <w:div w:id="1718046585">
      <w:bodyDiv w:val="1"/>
      <w:marLeft w:val="0"/>
      <w:marRight w:val="0"/>
      <w:marTop w:val="0"/>
      <w:marBottom w:val="0"/>
      <w:divBdr>
        <w:top w:val="none" w:sz="0" w:space="0" w:color="auto"/>
        <w:left w:val="none" w:sz="0" w:space="0" w:color="auto"/>
        <w:bottom w:val="none" w:sz="0" w:space="0" w:color="auto"/>
        <w:right w:val="none" w:sz="0" w:space="0" w:color="auto"/>
      </w:divBdr>
    </w:div>
    <w:div w:id="1724981458">
      <w:bodyDiv w:val="1"/>
      <w:marLeft w:val="0"/>
      <w:marRight w:val="0"/>
      <w:marTop w:val="0"/>
      <w:marBottom w:val="0"/>
      <w:divBdr>
        <w:top w:val="none" w:sz="0" w:space="0" w:color="auto"/>
        <w:left w:val="none" w:sz="0" w:space="0" w:color="auto"/>
        <w:bottom w:val="none" w:sz="0" w:space="0" w:color="auto"/>
        <w:right w:val="none" w:sz="0" w:space="0" w:color="auto"/>
      </w:divBdr>
    </w:div>
    <w:div w:id="1734085879">
      <w:bodyDiv w:val="1"/>
      <w:marLeft w:val="0"/>
      <w:marRight w:val="0"/>
      <w:marTop w:val="0"/>
      <w:marBottom w:val="0"/>
      <w:divBdr>
        <w:top w:val="none" w:sz="0" w:space="0" w:color="auto"/>
        <w:left w:val="none" w:sz="0" w:space="0" w:color="auto"/>
        <w:bottom w:val="none" w:sz="0" w:space="0" w:color="auto"/>
        <w:right w:val="none" w:sz="0" w:space="0" w:color="auto"/>
      </w:divBdr>
    </w:div>
    <w:div w:id="1752191959">
      <w:bodyDiv w:val="1"/>
      <w:marLeft w:val="0"/>
      <w:marRight w:val="0"/>
      <w:marTop w:val="0"/>
      <w:marBottom w:val="0"/>
      <w:divBdr>
        <w:top w:val="none" w:sz="0" w:space="0" w:color="auto"/>
        <w:left w:val="none" w:sz="0" w:space="0" w:color="auto"/>
        <w:bottom w:val="none" w:sz="0" w:space="0" w:color="auto"/>
        <w:right w:val="none" w:sz="0" w:space="0" w:color="auto"/>
      </w:divBdr>
    </w:div>
    <w:div w:id="1762216335">
      <w:bodyDiv w:val="1"/>
      <w:marLeft w:val="0"/>
      <w:marRight w:val="0"/>
      <w:marTop w:val="0"/>
      <w:marBottom w:val="0"/>
      <w:divBdr>
        <w:top w:val="none" w:sz="0" w:space="0" w:color="auto"/>
        <w:left w:val="none" w:sz="0" w:space="0" w:color="auto"/>
        <w:bottom w:val="none" w:sz="0" w:space="0" w:color="auto"/>
        <w:right w:val="none" w:sz="0" w:space="0" w:color="auto"/>
      </w:divBdr>
    </w:div>
    <w:div w:id="1794401307">
      <w:bodyDiv w:val="1"/>
      <w:marLeft w:val="0"/>
      <w:marRight w:val="0"/>
      <w:marTop w:val="0"/>
      <w:marBottom w:val="0"/>
      <w:divBdr>
        <w:top w:val="none" w:sz="0" w:space="0" w:color="auto"/>
        <w:left w:val="none" w:sz="0" w:space="0" w:color="auto"/>
        <w:bottom w:val="none" w:sz="0" w:space="0" w:color="auto"/>
        <w:right w:val="none" w:sz="0" w:space="0" w:color="auto"/>
      </w:divBdr>
    </w:div>
    <w:div w:id="1809861959">
      <w:bodyDiv w:val="1"/>
      <w:marLeft w:val="0"/>
      <w:marRight w:val="0"/>
      <w:marTop w:val="0"/>
      <w:marBottom w:val="0"/>
      <w:divBdr>
        <w:top w:val="none" w:sz="0" w:space="0" w:color="auto"/>
        <w:left w:val="none" w:sz="0" w:space="0" w:color="auto"/>
        <w:bottom w:val="none" w:sz="0" w:space="0" w:color="auto"/>
        <w:right w:val="none" w:sz="0" w:space="0" w:color="auto"/>
      </w:divBdr>
    </w:div>
    <w:div w:id="1833909575">
      <w:bodyDiv w:val="1"/>
      <w:marLeft w:val="0"/>
      <w:marRight w:val="0"/>
      <w:marTop w:val="0"/>
      <w:marBottom w:val="0"/>
      <w:divBdr>
        <w:top w:val="none" w:sz="0" w:space="0" w:color="auto"/>
        <w:left w:val="none" w:sz="0" w:space="0" w:color="auto"/>
        <w:bottom w:val="none" w:sz="0" w:space="0" w:color="auto"/>
        <w:right w:val="none" w:sz="0" w:space="0" w:color="auto"/>
      </w:divBdr>
    </w:div>
    <w:div w:id="1850946397">
      <w:bodyDiv w:val="1"/>
      <w:marLeft w:val="0"/>
      <w:marRight w:val="0"/>
      <w:marTop w:val="0"/>
      <w:marBottom w:val="0"/>
      <w:divBdr>
        <w:top w:val="none" w:sz="0" w:space="0" w:color="auto"/>
        <w:left w:val="none" w:sz="0" w:space="0" w:color="auto"/>
        <w:bottom w:val="none" w:sz="0" w:space="0" w:color="auto"/>
        <w:right w:val="none" w:sz="0" w:space="0" w:color="auto"/>
      </w:divBdr>
    </w:div>
    <w:div w:id="1877768435">
      <w:bodyDiv w:val="1"/>
      <w:marLeft w:val="0"/>
      <w:marRight w:val="0"/>
      <w:marTop w:val="0"/>
      <w:marBottom w:val="0"/>
      <w:divBdr>
        <w:top w:val="none" w:sz="0" w:space="0" w:color="auto"/>
        <w:left w:val="none" w:sz="0" w:space="0" w:color="auto"/>
        <w:bottom w:val="none" w:sz="0" w:space="0" w:color="auto"/>
        <w:right w:val="none" w:sz="0" w:space="0" w:color="auto"/>
      </w:divBdr>
    </w:div>
    <w:div w:id="1929339133">
      <w:bodyDiv w:val="1"/>
      <w:marLeft w:val="0"/>
      <w:marRight w:val="0"/>
      <w:marTop w:val="0"/>
      <w:marBottom w:val="0"/>
      <w:divBdr>
        <w:top w:val="none" w:sz="0" w:space="0" w:color="auto"/>
        <w:left w:val="none" w:sz="0" w:space="0" w:color="auto"/>
        <w:bottom w:val="none" w:sz="0" w:space="0" w:color="auto"/>
        <w:right w:val="none" w:sz="0" w:space="0" w:color="auto"/>
      </w:divBdr>
    </w:div>
    <w:div w:id="1940523738">
      <w:bodyDiv w:val="1"/>
      <w:marLeft w:val="0"/>
      <w:marRight w:val="0"/>
      <w:marTop w:val="0"/>
      <w:marBottom w:val="0"/>
      <w:divBdr>
        <w:top w:val="none" w:sz="0" w:space="0" w:color="auto"/>
        <w:left w:val="none" w:sz="0" w:space="0" w:color="auto"/>
        <w:bottom w:val="none" w:sz="0" w:space="0" w:color="auto"/>
        <w:right w:val="none" w:sz="0" w:space="0" w:color="auto"/>
      </w:divBdr>
    </w:div>
    <w:div w:id="1963729664">
      <w:bodyDiv w:val="1"/>
      <w:marLeft w:val="0"/>
      <w:marRight w:val="0"/>
      <w:marTop w:val="0"/>
      <w:marBottom w:val="0"/>
      <w:divBdr>
        <w:top w:val="none" w:sz="0" w:space="0" w:color="auto"/>
        <w:left w:val="none" w:sz="0" w:space="0" w:color="auto"/>
        <w:bottom w:val="none" w:sz="0" w:space="0" w:color="auto"/>
        <w:right w:val="none" w:sz="0" w:space="0" w:color="auto"/>
      </w:divBdr>
    </w:div>
    <w:div w:id="1970623282">
      <w:bodyDiv w:val="1"/>
      <w:marLeft w:val="0"/>
      <w:marRight w:val="0"/>
      <w:marTop w:val="0"/>
      <w:marBottom w:val="0"/>
      <w:divBdr>
        <w:top w:val="none" w:sz="0" w:space="0" w:color="auto"/>
        <w:left w:val="none" w:sz="0" w:space="0" w:color="auto"/>
        <w:bottom w:val="none" w:sz="0" w:space="0" w:color="auto"/>
        <w:right w:val="none" w:sz="0" w:space="0" w:color="auto"/>
      </w:divBdr>
    </w:div>
    <w:div w:id="1972856475">
      <w:bodyDiv w:val="1"/>
      <w:marLeft w:val="0"/>
      <w:marRight w:val="0"/>
      <w:marTop w:val="0"/>
      <w:marBottom w:val="0"/>
      <w:divBdr>
        <w:top w:val="none" w:sz="0" w:space="0" w:color="auto"/>
        <w:left w:val="none" w:sz="0" w:space="0" w:color="auto"/>
        <w:bottom w:val="none" w:sz="0" w:space="0" w:color="auto"/>
        <w:right w:val="none" w:sz="0" w:space="0" w:color="auto"/>
      </w:divBdr>
    </w:div>
    <w:div w:id="1974948343">
      <w:bodyDiv w:val="1"/>
      <w:marLeft w:val="0"/>
      <w:marRight w:val="0"/>
      <w:marTop w:val="0"/>
      <w:marBottom w:val="0"/>
      <w:divBdr>
        <w:top w:val="none" w:sz="0" w:space="0" w:color="auto"/>
        <w:left w:val="none" w:sz="0" w:space="0" w:color="auto"/>
        <w:bottom w:val="none" w:sz="0" w:space="0" w:color="auto"/>
        <w:right w:val="none" w:sz="0" w:space="0" w:color="auto"/>
      </w:divBdr>
    </w:div>
    <w:div w:id="1979529770">
      <w:bodyDiv w:val="1"/>
      <w:marLeft w:val="0"/>
      <w:marRight w:val="0"/>
      <w:marTop w:val="0"/>
      <w:marBottom w:val="0"/>
      <w:divBdr>
        <w:top w:val="none" w:sz="0" w:space="0" w:color="auto"/>
        <w:left w:val="none" w:sz="0" w:space="0" w:color="auto"/>
        <w:bottom w:val="none" w:sz="0" w:space="0" w:color="auto"/>
        <w:right w:val="none" w:sz="0" w:space="0" w:color="auto"/>
      </w:divBdr>
    </w:div>
    <w:div w:id="1990018646">
      <w:bodyDiv w:val="1"/>
      <w:marLeft w:val="0"/>
      <w:marRight w:val="0"/>
      <w:marTop w:val="0"/>
      <w:marBottom w:val="0"/>
      <w:divBdr>
        <w:top w:val="none" w:sz="0" w:space="0" w:color="auto"/>
        <w:left w:val="none" w:sz="0" w:space="0" w:color="auto"/>
        <w:bottom w:val="none" w:sz="0" w:space="0" w:color="auto"/>
        <w:right w:val="none" w:sz="0" w:space="0" w:color="auto"/>
      </w:divBdr>
    </w:div>
    <w:div w:id="2016227461">
      <w:bodyDiv w:val="1"/>
      <w:marLeft w:val="0"/>
      <w:marRight w:val="0"/>
      <w:marTop w:val="0"/>
      <w:marBottom w:val="0"/>
      <w:divBdr>
        <w:top w:val="none" w:sz="0" w:space="0" w:color="auto"/>
        <w:left w:val="none" w:sz="0" w:space="0" w:color="auto"/>
        <w:bottom w:val="none" w:sz="0" w:space="0" w:color="auto"/>
        <w:right w:val="none" w:sz="0" w:space="0" w:color="auto"/>
      </w:divBdr>
    </w:div>
    <w:div w:id="2093575089">
      <w:bodyDiv w:val="1"/>
      <w:marLeft w:val="0"/>
      <w:marRight w:val="0"/>
      <w:marTop w:val="0"/>
      <w:marBottom w:val="0"/>
      <w:divBdr>
        <w:top w:val="none" w:sz="0" w:space="0" w:color="auto"/>
        <w:left w:val="none" w:sz="0" w:space="0" w:color="auto"/>
        <w:bottom w:val="none" w:sz="0" w:space="0" w:color="auto"/>
        <w:right w:val="none" w:sz="0" w:space="0" w:color="auto"/>
      </w:divBdr>
    </w:div>
    <w:div w:id="213525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mator.gov.md/uploads/0/images/large/545c0635609f49bfc777cc620daefd99_2430134-md-programul-sect.pdf" TargetMode="External"/><Relationship Id="rId13" Type="http://schemas.openxmlformats.org/officeDocument/2006/relationships/hyperlink" Target="https://www.anrceti.md/files/u1/Ghid_solutionare_reclam_posta.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rceti.md/" TargetMode="External"/><Relationship Id="rId17" Type="http://schemas.openxmlformats.org/officeDocument/2006/relationships/hyperlink" Target="https://www.facebook.com/dasensbanilor/" TargetMode="External"/><Relationship Id="rId2" Type="http://schemas.openxmlformats.org/officeDocument/2006/relationships/numbering" Target="numbering.xml"/><Relationship Id="rId16" Type="http://schemas.openxmlformats.org/officeDocument/2006/relationships/hyperlink" Target="http://www.mediu.gov.md/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pf.md/" TargetMode="External"/><Relationship Id="rId5" Type="http://schemas.openxmlformats.org/officeDocument/2006/relationships/webSettings" Target="webSettings.xml"/><Relationship Id="rId15" Type="http://schemas.openxmlformats.org/officeDocument/2006/relationships/hyperlink" Target="https://www.facebook.com/anre.moldova" TargetMode="External"/><Relationship Id="rId10" Type="http://schemas.openxmlformats.org/officeDocument/2006/relationships/hyperlink" Target="https://www.facebook.com/dasensbanilo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nrceti.md/" TargetMode="External"/><Relationship Id="rId14" Type="http://schemas.openxmlformats.org/officeDocument/2006/relationships/hyperlink" Target="http://www.prosanatate.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CAD9E-FEDE-4FF7-BD72-5BE630FB9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3651</TotalTime>
  <Pages>30</Pages>
  <Words>15861</Words>
  <Characters>90411</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210</cp:revision>
  <cp:lastPrinted>2019-03-13T12:36:00Z</cp:lastPrinted>
  <dcterms:created xsi:type="dcterms:W3CDTF">2020-02-14T06:22:00Z</dcterms:created>
  <dcterms:modified xsi:type="dcterms:W3CDTF">2020-03-20T08:46:00Z</dcterms:modified>
</cp:coreProperties>
</file>