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84DF" w14:textId="77777777" w:rsidR="00A96B70" w:rsidRDefault="002A1A6E" w:rsidP="00D11836">
      <w:pPr>
        <w:tabs>
          <w:tab w:val="left" w:pos="993"/>
        </w:tabs>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val="ro-RO"/>
        </w:rPr>
      </w:pPr>
      <w:r w:rsidRPr="002A1A6E">
        <w:rPr>
          <w:rFonts w:ascii="Times New Roman" w:eastAsia="Times New Roman" w:hAnsi="Times New Roman" w:cs="Times New Roman"/>
          <w:b/>
          <w:bCs/>
          <w:iCs/>
          <w:sz w:val="24"/>
          <w:szCs w:val="24"/>
          <w:lang w:val="ro-RO"/>
        </w:rPr>
        <w:t>Analiză statistică</w:t>
      </w:r>
      <w:r w:rsidR="00E86450">
        <w:rPr>
          <w:rFonts w:ascii="Times New Roman" w:eastAsia="Times New Roman" w:hAnsi="Times New Roman" w:cs="Times New Roman"/>
          <w:b/>
          <w:bCs/>
          <w:iCs/>
          <w:sz w:val="24"/>
          <w:szCs w:val="24"/>
          <w:lang w:val="ro-RO"/>
        </w:rPr>
        <w:t xml:space="preserve"> privind </w:t>
      </w:r>
      <w:r w:rsidR="00A96B70">
        <w:rPr>
          <w:rFonts w:ascii="Times New Roman" w:eastAsia="Times New Roman" w:hAnsi="Times New Roman" w:cs="Times New Roman"/>
          <w:b/>
          <w:bCs/>
          <w:iCs/>
          <w:sz w:val="24"/>
          <w:szCs w:val="24"/>
          <w:lang w:val="ro-RO"/>
        </w:rPr>
        <w:t>activitatea instituțiilor de educație</w:t>
      </w:r>
      <w:r w:rsidR="00D11836" w:rsidRPr="002A1A6E">
        <w:rPr>
          <w:rFonts w:ascii="Times New Roman" w:eastAsia="Times New Roman" w:hAnsi="Times New Roman" w:cs="Times New Roman"/>
          <w:b/>
          <w:bCs/>
          <w:iCs/>
          <w:sz w:val="24"/>
          <w:szCs w:val="24"/>
          <w:lang w:val="ro-RO"/>
        </w:rPr>
        <w:t xml:space="preserve"> timpurie</w:t>
      </w:r>
      <w:r w:rsidR="00D11836">
        <w:rPr>
          <w:rFonts w:ascii="Times New Roman" w:eastAsia="Times New Roman" w:hAnsi="Times New Roman" w:cs="Times New Roman"/>
          <w:b/>
          <w:bCs/>
          <w:iCs/>
          <w:sz w:val="24"/>
          <w:szCs w:val="24"/>
          <w:lang w:val="ro-RO"/>
        </w:rPr>
        <w:t xml:space="preserve">, </w:t>
      </w:r>
      <w:bookmarkStart w:id="0" w:name="_GoBack"/>
      <w:bookmarkEnd w:id="0"/>
    </w:p>
    <w:p w14:paraId="6761CE2A" w14:textId="441014CF" w:rsidR="002A1A6E" w:rsidRPr="002A1A6E" w:rsidRDefault="00D11836" w:rsidP="00D11836">
      <w:pPr>
        <w:tabs>
          <w:tab w:val="left" w:pos="993"/>
        </w:tabs>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val="ro-RO"/>
        </w:rPr>
      </w:pPr>
      <w:r>
        <w:rPr>
          <w:rFonts w:ascii="Times New Roman" w:eastAsia="Times New Roman" w:hAnsi="Times New Roman" w:cs="Times New Roman"/>
          <w:b/>
          <w:bCs/>
          <w:iCs/>
          <w:sz w:val="24"/>
          <w:szCs w:val="24"/>
          <w:lang w:val="ro-RO"/>
        </w:rPr>
        <w:t>anul de studii 2020-2021</w:t>
      </w:r>
    </w:p>
    <w:p w14:paraId="02431056" w14:textId="77777777" w:rsidR="00D11836" w:rsidRDefault="00D11836" w:rsidP="002A1A6E">
      <w:pPr>
        <w:spacing w:after="0" w:line="240" w:lineRule="auto"/>
        <w:ind w:firstLine="426"/>
        <w:jc w:val="both"/>
        <w:rPr>
          <w:rFonts w:ascii="Times New Roman" w:eastAsia="Times New Roman" w:hAnsi="Times New Roman" w:cs="Times New Roman"/>
          <w:sz w:val="24"/>
          <w:szCs w:val="24"/>
          <w:shd w:val="clear" w:color="auto" w:fill="FFFFFF"/>
          <w:lang w:val="ro-RO"/>
        </w:rPr>
      </w:pPr>
    </w:p>
    <w:p w14:paraId="5452C744" w14:textId="77777777" w:rsidR="008B4F02" w:rsidRDefault="008B4F02" w:rsidP="002A1A6E">
      <w:pPr>
        <w:spacing w:after="0" w:line="240" w:lineRule="auto"/>
        <w:ind w:firstLine="426"/>
        <w:jc w:val="both"/>
        <w:rPr>
          <w:rFonts w:ascii="Times New Roman" w:eastAsia="Times New Roman" w:hAnsi="Times New Roman" w:cs="Times New Roman"/>
          <w:sz w:val="24"/>
          <w:szCs w:val="24"/>
          <w:shd w:val="clear" w:color="auto" w:fill="FFFFFF"/>
          <w:lang w:val="ro-RO"/>
        </w:rPr>
      </w:pPr>
    </w:p>
    <w:p w14:paraId="2ADC908A" w14:textId="77777777" w:rsidR="008B4F02" w:rsidRDefault="008B4F02" w:rsidP="002A1A6E">
      <w:pPr>
        <w:spacing w:after="0" w:line="240" w:lineRule="auto"/>
        <w:ind w:firstLine="426"/>
        <w:jc w:val="both"/>
        <w:rPr>
          <w:rFonts w:ascii="Times New Roman" w:eastAsia="Times New Roman" w:hAnsi="Times New Roman" w:cs="Times New Roman"/>
          <w:sz w:val="24"/>
          <w:szCs w:val="24"/>
          <w:shd w:val="clear" w:color="auto" w:fill="FFFFFF"/>
          <w:lang w:val="ro-RO"/>
        </w:rPr>
      </w:pPr>
    </w:p>
    <w:p w14:paraId="2E2F0CB5" w14:textId="06B362A9" w:rsidR="002A1A6E" w:rsidRPr="002A1A6E" w:rsidRDefault="002A1A6E" w:rsidP="002A1A6E">
      <w:pPr>
        <w:spacing w:after="0" w:line="240" w:lineRule="auto"/>
        <w:ind w:firstLine="426"/>
        <w:jc w:val="both"/>
        <w:rPr>
          <w:rFonts w:ascii="Times New Roman" w:eastAsia="Times New Roman" w:hAnsi="Times New Roman" w:cs="Times New Roman"/>
          <w:sz w:val="24"/>
          <w:szCs w:val="24"/>
          <w:shd w:val="clear" w:color="auto" w:fill="FFFFFF"/>
          <w:lang w:val="ro-RO"/>
        </w:rPr>
      </w:pPr>
      <w:r w:rsidRPr="002A1A6E">
        <w:rPr>
          <w:rFonts w:ascii="Times New Roman" w:eastAsia="Times New Roman" w:hAnsi="Times New Roman" w:cs="Times New Roman"/>
          <w:sz w:val="24"/>
          <w:szCs w:val="24"/>
          <w:shd w:val="clear" w:color="auto" w:fill="FFFFFF"/>
          <w:lang w:val="ro-RO"/>
        </w:rPr>
        <w:t xml:space="preserve">La începutul anului 2020, au funcţionat 1486 de instituţii de educație timpurie. Numărul total al instituțiilor de educație timpurie a manifestat o tendință de majorare continuă pe parcursul mai multor ani. Comparativ cu anul 2018, acest număr s-a majorat cu 2 unități, iar față de anul 2010 – cu 105 unități, sau cu 7,6%.   Numărul copiilor din instituțiile de educație timpurie, de asemenea, s-a majorat în ultimii ani (începând cu 2017), înregistrând, către sfârşitul anului 2019, cifra de 149,7 mii copii (Figura nr. 1). </w:t>
      </w:r>
    </w:p>
    <w:p w14:paraId="5E07415C" w14:textId="77777777" w:rsidR="002A1A6E" w:rsidRPr="002A1A6E" w:rsidRDefault="002A1A6E" w:rsidP="002A1A6E">
      <w:pPr>
        <w:spacing w:after="0" w:line="240" w:lineRule="auto"/>
        <w:ind w:firstLine="426"/>
        <w:jc w:val="both"/>
        <w:rPr>
          <w:rFonts w:ascii="Times New Roman" w:eastAsia="Times New Roman" w:hAnsi="Times New Roman" w:cs="Times New Roman"/>
          <w:sz w:val="24"/>
          <w:szCs w:val="24"/>
          <w:shd w:val="clear" w:color="auto" w:fill="FFFFFF"/>
          <w:lang w:val="ro-RO"/>
        </w:rPr>
      </w:pPr>
    </w:p>
    <w:p w14:paraId="57635CCF" w14:textId="77777777" w:rsidR="002A1A6E" w:rsidRPr="002A1A6E" w:rsidRDefault="002A1A6E" w:rsidP="002A1A6E">
      <w:pPr>
        <w:spacing w:after="0" w:line="240" w:lineRule="auto"/>
        <w:contextualSpacing/>
        <w:jc w:val="center"/>
        <w:rPr>
          <w:rFonts w:ascii="Times New Roman" w:eastAsia="Times New Roman" w:hAnsi="Times New Roman" w:cs="Times New Roman"/>
          <w:b/>
          <w:sz w:val="24"/>
          <w:szCs w:val="24"/>
          <w:lang w:val="ro-RO"/>
        </w:rPr>
      </w:pPr>
    </w:p>
    <w:p w14:paraId="19EC4ABE" w14:textId="77777777" w:rsidR="002A1A6E" w:rsidRPr="002A1A6E" w:rsidRDefault="002A1A6E" w:rsidP="002A1A6E">
      <w:pPr>
        <w:spacing w:after="0" w:line="240" w:lineRule="auto"/>
        <w:contextualSpacing/>
        <w:jc w:val="center"/>
        <w:rPr>
          <w:rFonts w:ascii="Times New Roman" w:eastAsia="Times New Roman" w:hAnsi="Times New Roman" w:cs="Times New Roman"/>
          <w:b/>
          <w:sz w:val="24"/>
          <w:szCs w:val="24"/>
          <w:lang w:val="ro-RO"/>
        </w:rPr>
      </w:pPr>
    </w:p>
    <w:p w14:paraId="18FC10D3" w14:textId="77777777" w:rsidR="002A1A6E" w:rsidRPr="002A1A6E" w:rsidRDefault="002A1A6E" w:rsidP="002A1A6E">
      <w:pPr>
        <w:spacing w:after="0" w:line="240" w:lineRule="auto"/>
        <w:contextualSpacing/>
        <w:jc w:val="center"/>
        <w:rPr>
          <w:rFonts w:ascii="Times New Roman" w:eastAsia="Times New Roman" w:hAnsi="Times New Roman" w:cs="Times New Roman"/>
          <w:b/>
          <w:sz w:val="24"/>
          <w:szCs w:val="24"/>
          <w:lang w:val="ro-RO"/>
        </w:rPr>
      </w:pPr>
      <w:r w:rsidRPr="002A1A6E">
        <w:rPr>
          <w:rFonts w:ascii="Times New Roman" w:eastAsia="Times New Roman" w:hAnsi="Times New Roman" w:cs="Times New Roman"/>
          <w:b/>
          <w:sz w:val="24"/>
          <w:szCs w:val="24"/>
          <w:lang w:val="ro-RO"/>
        </w:rPr>
        <w:t>Figura nr. 1. Evoluția numărului de copii din instituțiile de educație timpurie, anii 2010-2019</w:t>
      </w:r>
    </w:p>
    <w:p w14:paraId="191E322A" w14:textId="77777777" w:rsidR="002A1A6E" w:rsidRPr="002A1A6E" w:rsidRDefault="002A1A6E" w:rsidP="002A1A6E">
      <w:pPr>
        <w:spacing w:after="0" w:line="240" w:lineRule="auto"/>
        <w:contextualSpacing/>
        <w:jc w:val="center"/>
        <w:rPr>
          <w:rFonts w:ascii="Times New Roman" w:eastAsia="Times New Roman" w:hAnsi="Times New Roman" w:cs="Times New Roman"/>
          <w:b/>
          <w:sz w:val="24"/>
          <w:szCs w:val="24"/>
          <w:lang w:val="ro-RO"/>
        </w:rPr>
      </w:pPr>
    </w:p>
    <w:p w14:paraId="367741FC" w14:textId="77777777" w:rsidR="002A1A6E" w:rsidRPr="002A1A6E" w:rsidRDefault="002A1A6E" w:rsidP="002A1A6E">
      <w:pPr>
        <w:spacing w:after="0" w:line="240" w:lineRule="auto"/>
        <w:contextualSpacing/>
        <w:jc w:val="center"/>
        <w:rPr>
          <w:rFonts w:ascii="Times New Roman" w:eastAsia="Times New Roman" w:hAnsi="Times New Roman" w:cs="Times New Roman"/>
          <w:sz w:val="18"/>
          <w:szCs w:val="18"/>
          <w:lang w:val="ro-RO"/>
        </w:rPr>
      </w:pPr>
      <w:r w:rsidRPr="002A1A6E">
        <w:rPr>
          <w:rFonts w:ascii="Times New Roman" w:eastAsia="Times New Roman" w:hAnsi="Times New Roman" w:cs="Times New Roman"/>
          <w:sz w:val="18"/>
          <w:szCs w:val="18"/>
          <w:lang w:val="ro-RO"/>
        </w:rPr>
        <w:t xml:space="preserve">                                                                                                                                                                                   persoane</w:t>
      </w:r>
    </w:p>
    <w:p w14:paraId="182B3A63" w14:textId="77777777" w:rsidR="002A1A6E" w:rsidRPr="002A1A6E" w:rsidRDefault="002A1A6E" w:rsidP="002A1A6E">
      <w:pPr>
        <w:spacing w:after="0" w:line="240" w:lineRule="auto"/>
        <w:contextualSpacing/>
        <w:jc w:val="center"/>
        <w:rPr>
          <w:rFonts w:ascii="Times New Roman" w:eastAsia="Times New Roman" w:hAnsi="Times New Roman" w:cs="Times New Roman"/>
          <w:b/>
          <w:sz w:val="24"/>
          <w:szCs w:val="24"/>
          <w:lang w:val="ro-RO"/>
        </w:rPr>
      </w:pPr>
      <w:r w:rsidRPr="002A1A6E">
        <w:rPr>
          <w:rFonts w:ascii="Times New Roman" w:eastAsia="Times New Roman" w:hAnsi="Times New Roman" w:cs="Times New Roman"/>
          <w:b/>
          <w:noProof/>
          <w:sz w:val="24"/>
          <w:szCs w:val="24"/>
          <w:lang w:val="ro-RO" w:eastAsia="ro-RO"/>
        </w:rPr>
        <w:drawing>
          <wp:inline distT="0" distB="0" distL="0" distR="0" wp14:anchorId="16F6451D" wp14:editId="00C61479">
            <wp:extent cx="5734050" cy="2800350"/>
            <wp:effectExtent l="0" t="0" r="0" b="0"/>
            <wp:docPr id="10" name="Diagramă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D6BB9A3" w14:textId="77777777" w:rsidR="002A1A6E" w:rsidRPr="002A1A6E" w:rsidRDefault="002A1A6E" w:rsidP="002A1A6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eastAsia="ro-RO"/>
        </w:rPr>
      </w:pPr>
      <w:r w:rsidRPr="002A1A6E">
        <w:rPr>
          <w:rFonts w:ascii="Times New Roman" w:eastAsia="Times New Roman" w:hAnsi="Times New Roman" w:cs="Times New Roman"/>
          <w:sz w:val="24"/>
          <w:szCs w:val="24"/>
          <w:shd w:val="clear" w:color="auto" w:fill="FFFFFF"/>
          <w:lang w:val="ro-RO"/>
        </w:rPr>
        <w:t xml:space="preserve"> De asemenea, în ultimii trei ani, n</w:t>
      </w:r>
      <w:r w:rsidRPr="002A1A6E">
        <w:rPr>
          <w:rFonts w:ascii="Times New Roman" w:eastAsia="Times New Roman" w:hAnsi="Times New Roman" w:cs="Times New Roman"/>
          <w:sz w:val="24"/>
          <w:szCs w:val="24"/>
          <w:lang w:val="ro-RO" w:eastAsia="ro-RO"/>
        </w:rPr>
        <w:t>umărul de instituții de educație timpurie în mediul urban și cel rural a evaluat în creștere</w:t>
      </w:r>
      <w:r w:rsidRPr="002A1A6E">
        <w:rPr>
          <w:rFonts w:ascii="Times New Roman" w:eastAsia="Times New Roman" w:hAnsi="Times New Roman" w:cs="Times New Roman"/>
          <w:sz w:val="24"/>
          <w:szCs w:val="24"/>
          <w:shd w:val="clear" w:color="auto" w:fill="FFFFFF"/>
          <w:lang w:val="ro-RO"/>
        </w:rPr>
        <w:t xml:space="preserve"> (Figura nr. 2).</w:t>
      </w:r>
    </w:p>
    <w:p w14:paraId="5205BDBC"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38E720DC"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73F0A56B"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11699494"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31AF6666"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3B19E2A4"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2799DF56"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56F9422A"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0D5A3234" w14:textId="6AA1B8E0"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593E52CC" w14:textId="77777777" w:rsidR="008B4F02" w:rsidRDefault="008B4F02" w:rsidP="002A1A6E">
      <w:pPr>
        <w:spacing w:after="0" w:line="240" w:lineRule="auto"/>
        <w:ind w:left="360"/>
        <w:contextualSpacing/>
        <w:jc w:val="center"/>
        <w:rPr>
          <w:rFonts w:ascii="Times New Roman" w:eastAsia="Times New Roman" w:hAnsi="Times New Roman" w:cs="Times New Roman"/>
          <w:b/>
          <w:sz w:val="24"/>
          <w:szCs w:val="24"/>
          <w:lang w:val="ro-RO"/>
        </w:rPr>
      </w:pPr>
    </w:p>
    <w:p w14:paraId="38BD7B9B" w14:textId="6825CDEF" w:rsidR="002A1A6E" w:rsidRPr="002A1A6E" w:rsidRDefault="002A1A6E" w:rsidP="002A1A6E">
      <w:pPr>
        <w:spacing w:after="0" w:line="240" w:lineRule="auto"/>
        <w:ind w:left="360"/>
        <w:contextualSpacing/>
        <w:jc w:val="center"/>
        <w:rPr>
          <w:rFonts w:ascii="Times New Roman" w:eastAsia="Times New Roman" w:hAnsi="Times New Roman" w:cs="Times New Roman"/>
          <w:b/>
          <w:sz w:val="24"/>
          <w:szCs w:val="24"/>
          <w:lang w:val="ro-RO"/>
        </w:rPr>
      </w:pPr>
      <w:r w:rsidRPr="002A1A6E">
        <w:rPr>
          <w:rFonts w:ascii="Times New Roman" w:eastAsia="Times New Roman" w:hAnsi="Times New Roman" w:cs="Times New Roman"/>
          <w:b/>
          <w:sz w:val="24"/>
          <w:szCs w:val="24"/>
          <w:lang w:val="ro-RO"/>
        </w:rPr>
        <w:t>Figura nr. 2. Evoluția numărului de instituții de educație timpurie, pe medii</w:t>
      </w:r>
    </w:p>
    <w:p w14:paraId="583BB788" w14:textId="77777777" w:rsidR="002A1A6E" w:rsidRPr="002A1A6E" w:rsidRDefault="002A1A6E" w:rsidP="002A1A6E">
      <w:pPr>
        <w:spacing w:after="0" w:line="240" w:lineRule="auto"/>
        <w:ind w:firstLine="360"/>
        <w:contextualSpacing/>
        <w:rPr>
          <w:rFonts w:ascii="Times New Roman" w:eastAsia="Times New Roman" w:hAnsi="Times New Roman" w:cs="Times New Roman"/>
          <w:b/>
          <w:sz w:val="24"/>
          <w:szCs w:val="24"/>
          <w:lang w:val="ro-RO"/>
        </w:rPr>
      </w:pPr>
      <w:r w:rsidRPr="002A1A6E">
        <w:rPr>
          <w:rFonts w:ascii="Times New Roman" w:eastAsia="Times New Roman" w:hAnsi="Times New Roman" w:cs="Times New Roman"/>
          <w:noProof/>
          <w:sz w:val="24"/>
          <w:szCs w:val="24"/>
          <w:lang w:val="ro-RO" w:eastAsia="ro-RO"/>
        </w:rPr>
        <w:drawing>
          <wp:anchor distT="0" distB="0" distL="114300" distR="114300" simplePos="0" relativeHeight="251659264" behindDoc="1" locked="0" layoutInCell="1" allowOverlap="1" wp14:anchorId="4A0C1C81" wp14:editId="746A3705">
            <wp:simplePos x="0" y="0"/>
            <wp:positionH relativeFrom="column">
              <wp:posOffset>184150</wp:posOffset>
            </wp:positionH>
            <wp:positionV relativeFrom="paragraph">
              <wp:posOffset>73660</wp:posOffset>
            </wp:positionV>
            <wp:extent cx="5931535" cy="2840990"/>
            <wp:effectExtent l="3175" t="0" r="0" b="0"/>
            <wp:wrapTight wrapText="bothSides">
              <wp:wrapPolygon edited="0">
                <wp:start x="104" y="362"/>
                <wp:lineTo x="104" y="20948"/>
                <wp:lineTo x="21357" y="20948"/>
                <wp:lineTo x="21357" y="362"/>
                <wp:lineTo x="104" y="362"/>
              </wp:wrapPolygon>
            </wp:wrapTight>
            <wp:docPr id="11" name="Diagramă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2A1A6E">
        <w:rPr>
          <w:rFonts w:ascii="Times New Roman" w:eastAsia="Times New Roman" w:hAnsi="Times New Roman" w:cs="Times New Roman"/>
          <w:sz w:val="24"/>
          <w:szCs w:val="24"/>
          <w:lang w:val="ro-RO" w:eastAsia="ro-RO"/>
        </w:rPr>
        <w:t>Numărul copiilor înscriși în instituțiile de educație timpurie, în anul 2019, prezintă practic nivelul anului precedent și este în creștere cu circa 15% comparativ cu anul 2010. Ponderea copiilor din unitățile din mediul urban a constituit 48,2%. Puțin peste jumătate dintre copiii înscriși în grupele de educație timpurie au fost băieți (51,7%).</w:t>
      </w:r>
    </w:p>
    <w:p w14:paraId="05FCCE87" w14:textId="77777777" w:rsidR="002A1A6E" w:rsidRPr="002A1A6E" w:rsidRDefault="002A1A6E" w:rsidP="002A1A6E">
      <w:pPr>
        <w:spacing w:after="0" w:line="240" w:lineRule="auto"/>
        <w:ind w:firstLine="360"/>
        <w:jc w:val="both"/>
        <w:rPr>
          <w:rFonts w:ascii="Times New Roman" w:eastAsia="Times New Roman" w:hAnsi="Times New Roman" w:cs="Times New Roman"/>
          <w:sz w:val="24"/>
          <w:szCs w:val="24"/>
          <w:shd w:val="clear" w:color="auto" w:fill="FFFFFF"/>
          <w:lang w:val="ro-RO"/>
        </w:rPr>
      </w:pPr>
      <w:r w:rsidRPr="002A1A6E">
        <w:rPr>
          <w:rFonts w:ascii="Times New Roman" w:eastAsia="Times New Roman" w:hAnsi="Times New Roman" w:cs="Times New Roman"/>
          <w:sz w:val="24"/>
          <w:szCs w:val="24"/>
          <w:lang w:val="ro-RO" w:eastAsia="ro-RO"/>
        </w:rPr>
        <w:t>Ponderea copiilor în vârstă de 3 ani și peste, cuprinși în învățământul preșcolar, a constituit 88,8% din numărul total de copii din instituțiile de educație timpurie. Valoarea acestui indicator în mediul rural a fost mai înaltă decât în mediul urban cu 1,3 p. p. (89,4% și, respectiv, 88,1%).  În profil teritorial, cea mai mare pondere a copiilor în vârstă de 3 ani și peste, din total copii cuprinși în învățământul preșcolar, s-a înregistrat în municipiul Chișinău – 90,3%, în timp ce zona Sud a înregistrat cea mai mică pondere – 86,8%. (Figura nr. 3). Distribuția pe vârste a copiilor înscriși în educația timpurie, denotă o preponderență a copiilor cu vârsta de 5 ani – 23,0%. Ponderea copiilor de 4 ani este de 22,7%, de 6 ani – 21,1%, de 3 ani – 20,8%, de 7 ani și peste – 1,2%. Ponderea copiilor cu vârsta de până la 3 ani (cuprinși cu educație antepreşcolară) reprezintă 11,2%.</w:t>
      </w:r>
      <w:r w:rsidRPr="002A1A6E">
        <w:rPr>
          <w:rFonts w:ascii="Times New Roman" w:eastAsia="Times New Roman" w:hAnsi="Times New Roman" w:cs="Times New Roman"/>
          <w:sz w:val="24"/>
          <w:szCs w:val="24"/>
          <w:shd w:val="clear" w:color="auto" w:fill="FFFFFF"/>
          <w:lang w:val="ro-RO"/>
        </w:rPr>
        <w:t xml:space="preserve"> </w:t>
      </w:r>
    </w:p>
    <w:p w14:paraId="4E8BB6A8" w14:textId="77777777" w:rsidR="002A1A6E" w:rsidRPr="002A1A6E" w:rsidRDefault="002A1A6E" w:rsidP="002A1A6E">
      <w:pPr>
        <w:spacing w:after="0" w:line="240" w:lineRule="auto"/>
        <w:ind w:left="360"/>
        <w:contextualSpacing/>
        <w:rPr>
          <w:rFonts w:ascii="Times New Roman" w:eastAsia="Times New Roman" w:hAnsi="Times New Roman" w:cs="Times New Roman"/>
          <w:b/>
          <w:sz w:val="24"/>
          <w:szCs w:val="24"/>
          <w:lang w:val="ro-RO"/>
        </w:rPr>
      </w:pPr>
    </w:p>
    <w:p w14:paraId="60EB2BE9" w14:textId="77777777" w:rsidR="002A1A6E" w:rsidRPr="002A1A6E" w:rsidRDefault="002A1A6E" w:rsidP="002A1A6E">
      <w:pPr>
        <w:spacing w:after="0" w:line="240" w:lineRule="auto"/>
        <w:ind w:left="360"/>
        <w:contextualSpacing/>
        <w:rPr>
          <w:rFonts w:ascii="Times New Roman" w:eastAsia="Times New Roman" w:hAnsi="Times New Roman" w:cs="Times New Roman"/>
          <w:b/>
          <w:sz w:val="24"/>
          <w:szCs w:val="24"/>
          <w:lang w:val="ro-RO"/>
        </w:rPr>
      </w:pPr>
      <w:r w:rsidRPr="002A1A6E">
        <w:rPr>
          <w:rFonts w:ascii="Times New Roman" w:eastAsia="Times New Roman" w:hAnsi="Times New Roman" w:cs="Times New Roman"/>
          <w:b/>
          <w:sz w:val="24"/>
          <w:szCs w:val="24"/>
          <w:lang w:val="ro-RO"/>
        </w:rPr>
        <w:t>Figura nr. 3. Ponderea copiilor cuprinși cu educație antepreșcolară (până la 3 ani) și învățământ preșcolar (3 ani și peste), în profil teritorial, în anul 2019 (%)</w:t>
      </w:r>
    </w:p>
    <w:p w14:paraId="39008487" w14:textId="77777777" w:rsidR="002A1A6E" w:rsidRPr="002A1A6E" w:rsidRDefault="002A1A6E" w:rsidP="002A1A6E">
      <w:pPr>
        <w:spacing w:after="0" w:line="240" w:lineRule="auto"/>
        <w:jc w:val="center"/>
        <w:rPr>
          <w:rFonts w:ascii="Times New Roman" w:eastAsia="Times New Roman" w:hAnsi="Times New Roman" w:cs="Times New Roman"/>
          <w:sz w:val="24"/>
          <w:szCs w:val="24"/>
          <w:lang w:val="ro-RO"/>
        </w:rPr>
      </w:pPr>
      <w:r w:rsidRPr="002A1A6E">
        <w:rPr>
          <w:rFonts w:ascii="Times New Roman" w:eastAsia="Times New Roman" w:hAnsi="Times New Roman" w:cs="Times New Roman"/>
          <w:noProof/>
          <w:sz w:val="24"/>
          <w:szCs w:val="24"/>
          <w:lang w:val="ro-RO" w:eastAsia="ro-RO"/>
        </w:rPr>
        <w:drawing>
          <wp:inline distT="0" distB="0" distL="0" distR="0" wp14:anchorId="36337902" wp14:editId="6FB6174B">
            <wp:extent cx="5781675" cy="1895475"/>
            <wp:effectExtent l="0" t="0" r="9525" b="9525"/>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E904AF" w14:textId="77777777" w:rsidR="002A1A6E" w:rsidRPr="002A1A6E" w:rsidRDefault="002A1A6E" w:rsidP="002A1A6E">
      <w:pPr>
        <w:spacing w:after="0" w:line="240" w:lineRule="auto"/>
        <w:ind w:firstLine="425"/>
        <w:jc w:val="both"/>
        <w:rPr>
          <w:rFonts w:ascii="Times New Roman" w:eastAsia="Times New Roman" w:hAnsi="Times New Roman" w:cs="Times New Roman"/>
          <w:sz w:val="24"/>
          <w:szCs w:val="24"/>
          <w:shd w:val="clear" w:color="auto" w:fill="FFFFFF"/>
          <w:lang w:val="ro-RO"/>
        </w:rPr>
      </w:pPr>
      <w:r w:rsidRPr="002A1A6E">
        <w:rPr>
          <w:rFonts w:ascii="Times New Roman" w:eastAsia="Times New Roman" w:hAnsi="Times New Roman" w:cs="Times New Roman"/>
          <w:sz w:val="24"/>
          <w:szCs w:val="24"/>
          <w:shd w:val="clear" w:color="auto" w:fill="FFFFFF"/>
          <w:lang w:val="ro-RO"/>
        </w:rPr>
        <w:lastRenderedPageBreak/>
        <w:t xml:space="preserve">În medie, la 100 de locuri în instituţiile preşcolare revin 84 de copii, cele mai solicitate fiind grădiniţele din mediul urban, unde la 100 de locuri revin 101 copii, iar în mediul rural la 100 de locuri revin doar 73 de copii. </w:t>
      </w:r>
    </w:p>
    <w:p w14:paraId="7D659F03" w14:textId="77777777" w:rsidR="002A1A6E" w:rsidRPr="002A1A6E" w:rsidRDefault="002A1A6E" w:rsidP="002A1A6E">
      <w:pPr>
        <w:shd w:val="clear" w:color="auto" w:fill="FFFFFF"/>
        <w:spacing w:before="100" w:beforeAutospacing="1" w:after="100" w:afterAutospacing="1" w:line="240" w:lineRule="auto"/>
        <w:ind w:firstLine="425"/>
        <w:jc w:val="both"/>
        <w:rPr>
          <w:rFonts w:ascii="Times New Roman" w:eastAsia="Times New Roman" w:hAnsi="Times New Roman" w:cs="Times New Roman"/>
          <w:sz w:val="24"/>
          <w:szCs w:val="24"/>
          <w:lang w:val="ro-RO" w:eastAsia="ro-RO"/>
        </w:rPr>
      </w:pPr>
      <w:r w:rsidRPr="002A1A6E">
        <w:rPr>
          <w:rFonts w:ascii="Times New Roman" w:eastAsia="Times New Roman" w:hAnsi="Times New Roman" w:cs="Times New Roman"/>
          <w:b/>
          <w:i/>
          <w:sz w:val="24"/>
          <w:szCs w:val="24"/>
          <w:lang w:val="ro-RO" w:eastAsia="ro-RO"/>
        </w:rPr>
        <w:t>Pentru copiii cu necesități speciale</w:t>
      </w:r>
      <w:r w:rsidRPr="002A1A6E">
        <w:rPr>
          <w:rFonts w:ascii="Times New Roman" w:eastAsia="Times New Roman" w:hAnsi="Times New Roman" w:cs="Times New Roman"/>
          <w:sz w:val="24"/>
          <w:szCs w:val="24"/>
          <w:lang w:val="ro-RO" w:eastAsia="ro-RO"/>
        </w:rPr>
        <w:t xml:space="preserve"> în țară funcționează 7 instituții specializate cu 45 grupe. Totodată, în cadrul a 2 instituții cu destinație generală funcționează 7 grupe cu destinație specială. Numărul copiilor cu necesități speciale din aceste instituții a fost de 746 persoane, cu circa 16% mai puțin față de anul 2018. Majoritatea acestor copii fac parte din grupa de vârstă 3 ani și peste și sunt cuprinși în educație preșcolară (91,6%). Din total copii cu necesități speciale, 32,6% sunt cu dereglări de vorbire, 27,6% – cu dereglări de vedere și 13,8% – cu dereglări de intelect.</w:t>
      </w:r>
    </w:p>
    <w:p w14:paraId="3E923671" w14:textId="77777777" w:rsidR="002A1A6E" w:rsidRPr="002A1A6E" w:rsidRDefault="002A1A6E" w:rsidP="002A1A6E">
      <w:pPr>
        <w:spacing w:after="0" w:line="240" w:lineRule="auto"/>
        <w:ind w:firstLine="425"/>
        <w:jc w:val="both"/>
        <w:rPr>
          <w:rFonts w:ascii="Times New Roman" w:eastAsia="Times New Roman" w:hAnsi="Times New Roman" w:cs="Times New Roman"/>
          <w:sz w:val="24"/>
          <w:szCs w:val="24"/>
          <w:lang w:val="ro-RO" w:eastAsia="ro-RO"/>
        </w:rPr>
      </w:pPr>
      <w:r w:rsidRPr="002A1A6E">
        <w:rPr>
          <w:rFonts w:ascii="Times New Roman" w:eastAsia="Times New Roman" w:hAnsi="Times New Roman" w:cs="Times New Roman"/>
          <w:sz w:val="24"/>
          <w:szCs w:val="24"/>
          <w:shd w:val="clear" w:color="auto" w:fill="FFFFFF"/>
          <w:lang w:val="ro-RO" w:eastAsia="ro-RO"/>
        </w:rPr>
        <w:t xml:space="preserve">La 01.01.2020, în instituțiile de educație timpurie au fost încadrate 31,5 mii persoane, din ele numărul cadrelor didactice a constituit </w:t>
      </w:r>
      <w:r w:rsidRPr="002A1A6E">
        <w:rPr>
          <w:rFonts w:ascii="Times New Roman" w:eastAsia="Times New Roman" w:hAnsi="Times New Roman" w:cs="Times New Roman"/>
          <w:sz w:val="24"/>
          <w:szCs w:val="24"/>
          <w:lang w:val="ro-RO" w:eastAsia="ro-RO"/>
        </w:rPr>
        <w:t xml:space="preserve">12839 de persoane, cu 878 mai mult față de anul 2010 (Figura nr.4). </w:t>
      </w:r>
    </w:p>
    <w:p w14:paraId="0A3F6CBD" w14:textId="77777777" w:rsidR="002A1A6E" w:rsidRPr="002A1A6E" w:rsidRDefault="002A1A6E" w:rsidP="002A1A6E">
      <w:pPr>
        <w:spacing w:after="0" w:line="240" w:lineRule="auto"/>
        <w:ind w:firstLine="425"/>
        <w:jc w:val="both"/>
        <w:rPr>
          <w:rFonts w:ascii="Times New Roman" w:eastAsia="Times New Roman" w:hAnsi="Times New Roman" w:cs="Times New Roman"/>
          <w:sz w:val="24"/>
          <w:szCs w:val="24"/>
          <w:lang w:val="ro-RO" w:eastAsia="ro-RO"/>
        </w:rPr>
      </w:pPr>
      <w:r w:rsidRPr="002A1A6E">
        <w:rPr>
          <w:rFonts w:ascii="Times New Roman" w:eastAsia="Times New Roman" w:hAnsi="Times New Roman" w:cs="Times New Roman"/>
          <w:sz w:val="24"/>
          <w:szCs w:val="24"/>
          <w:lang w:val="ro-RO" w:eastAsia="ro-RO"/>
        </w:rPr>
        <w:t>Din numărul total de personal încadrat, 40,8% a fost personalul didactic și de conducere, iar 59,2% – alte categorii de personal. Ponderea cadrelor didactice cu studii superioare a constituit circa 60%, înregistrând o majorare cu 1,8 p. p. față de anul 2018 și cu 21,1 p. p. față de anul 2010. Din totalul de 12,8 mii cadre didactice din educația timpurie, o pondere de 89,5% a deținut personalul didactic cu studii în domeniul pedagogiei (</w:t>
      </w:r>
      <w:hyperlink r:id="rId7" w:tgtFrame="_blank" w:history="1">
        <w:r w:rsidRPr="002A1A6E">
          <w:rPr>
            <w:rFonts w:ascii="Times New Roman" w:eastAsia="Times New Roman" w:hAnsi="Times New Roman" w:cs="Times New Roman"/>
            <w:sz w:val="24"/>
            <w:szCs w:val="24"/>
            <w:u w:val="single"/>
            <w:lang w:val="ro-RO" w:eastAsia="ro-RO"/>
          </w:rPr>
          <w:t>indicator ODD 4.c.1.a</w:t>
        </w:r>
      </w:hyperlink>
      <w:r w:rsidRPr="002A1A6E">
        <w:rPr>
          <w:rFonts w:ascii="Times New Roman" w:eastAsia="Times New Roman" w:hAnsi="Times New Roman" w:cs="Times New Roman"/>
          <w:sz w:val="24"/>
          <w:szCs w:val="24"/>
          <w:lang w:val="ro-RO" w:eastAsia="ro-RO"/>
        </w:rPr>
        <w:t>).</w:t>
      </w:r>
    </w:p>
    <w:p w14:paraId="3E3B406A" w14:textId="77777777" w:rsidR="002A1A6E" w:rsidRPr="002A1A6E" w:rsidRDefault="002A1A6E" w:rsidP="002A1A6E">
      <w:pPr>
        <w:spacing w:after="0" w:line="240" w:lineRule="auto"/>
        <w:rPr>
          <w:rFonts w:ascii="Times New Roman" w:eastAsia="Times New Roman" w:hAnsi="Times New Roman" w:cs="Times New Roman"/>
          <w:b/>
          <w:sz w:val="24"/>
          <w:szCs w:val="24"/>
          <w:shd w:val="clear" w:color="auto" w:fill="FFFFFF"/>
          <w:lang w:val="ro-RO"/>
        </w:rPr>
      </w:pPr>
    </w:p>
    <w:p w14:paraId="0222ED5E" w14:textId="77777777" w:rsidR="002A1A6E" w:rsidRPr="002A1A6E" w:rsidRDefault="002A1A6E" w:rsidP="002A1A6E">
      <w:pPr>
        <w:spacing w:after="0" w:line="240" w:lineRule="auto"/>
        <w:ind w:firstLine="425"/>
        <w:rPr>
          <w:rFonts w:ascii="Times New Roman" w:eastAsia="Times New Roman" w:hAnsi="Times New Roman" w:cs="Times New Roman"/>
          <w:b/>
          <w:sz w:val="24"/>
          <w:szCs w:val="24"/>
          <w:shd w:val="clear" w:color="auto" w:fill="FFFFFF"/>
          <w:lang w:val="ro-RO"/>
        </w:rPr>
      </w:pPr>
    </w:p>
    <w:p w14:paraId="10F8CDDF" w14:textId="77777777" w:rsidR="002A1A6E" w:rsidRPr="002A1A6E" w:rsidRDefault="002A1A6E" w:rsidP="002A1A6E">
      <w:pPr>
        <w:spacing w:after="0" w:line="240" w:lineRule="auto"/>
        <w:ind w:firstLine="425"/>
        <w:rPr>
          <w:rFonts w:ascii="Times New Roman" w:eastAsia="Times New Roman" w:hAnsi="Times New Roman" w:cs="Times New Roman"/>
          <w:b/>
          <w:sz w:val="24"/>
          <w:szCs w:val="24"/>
          <w:shd w:val="clear" w:color="auto" w:fill="FFFFFF"/>
          <w:lang w:val="ro-RO"/>
        </w:rPr>
      </w:pPr>
    </w:p>
    <w:p w14:paraId="33FEA9A0" w14:textId="77777777" w:rsidR="002A1A6E" w:rsidRPr="002A1A6E" w:rsidRDefault="002A1A6E" w:rsidP="002A1A6E">
      <w:pPr>
        <w:spacing w:after="0" w:line="240" w:lineRule="auto"/>
        <w:ind w:firstLine="425"/>
        <w:rPr>
          <w:rFonts w:ascii="Times New Roman" w:eastAsia="Times New Roman" w:hAnsi="Times New Roman" w:cs="Times New Roman"/>
          <w:b/>
          <w:sz w:val="24"/>
          <w:szCs w:val="24"/>
          <w:shd w:val="clear" w:color="auto" w:fill="FFFFFF"/>
          <w:lang w:val="ro-RO"/>
        </w:rPr>
      </w:pPr>
    </w:p>
    <w:p w14:paraId="4BBE1FCA" w14:textId="77777777" w:rsidR="002A1A6E" w:rsidRPr="002A1A6E" w:rsidRDefault="002A1A6E" w:rsidP="002A1A6E">
      <w:pPr>
        <w:spacing w:after="0" w:line="240" w:lineRule="auto"/>
        <w:ind w:firstLine="425"/>
        <w:rPr>
          <w:rFonts w:ascii="Times New Roman" w:eastAsia="Times New Roman" w:hAnsi="Times New Roman" w:cs="Times New Roman"/>
          <w:b/>
          <w:sz w:val="24"/>
          <w:szCs w:val="24"/>
          <w:shd w:val="clear" w:color="auto" w:fill="FFFFFF"/>
          <w:lang w:val="ro-RO"/>
        </w:rPr>
      </w:pPr>
      <w:r w:rsidRPr="002A1A6E">
        <w:rPr>
          <w:rFonts w:ascii="Times New Roman" w:eastAsia="Times New Roman" w:hAnsi="Times New Roman" w:cs="Times New Roman"/>
          <w:b/>
          <w:sz w:val="24"/>
          <w:szCs w:val="24"/>
          <w:shd w:val="clear" w:color="auto" w:fill="FFFFFF"/>
          <w:lang w:val="ro-RO"/>
        </w:rPr>
        <w:t>Figura nr. 4. Evoluția numărului de instituții de educație timpurie și cadre didactice</w:t>
      </w:r>
    </w:p>
    <w:p w14:paraId="57D658DB" w14:textId="77777777" w:rsidR="002A1A6E" w:rsidRPr="002A1A6E" w:rsidRDefault="002A1A6E" w:rsidP="002A1A6E">
      <w:pPr>
        <w:spacing w:after="0" w:line="240" w:lineRule="auto"/>
        <w:ind w:firstLine="426"/>
        <w:contextualSpacing/>
        <w:jc w:val="both"/>
        <w:rPr>
          <w:rFonts w:ascii="Times New Roman" w:eastAsia="Times New Roman" w:hAnsi="Times New Roman" w:cs="Times New Roman"/>
          <w:sz w:val="24"/>
          <w:szCs w:val="24"/>
          <w:shd w:val="clear" w:color="auto" w:fill="FFFFFF"/>
          <w:lang w:val="ro-RO"/>
        </w:rPr>
      </w:pPr>
    </w:p>
    <w:p w14:paraId="551BA68B" w14:textId="77777777" w:rsidR="002A1A6E" w:rsidRPr="002A1A6E" w:rsidRDefault="002A1A6E" w:rsidP="002A1A6E">
      <w:pPr>
        <w:spacing w:after="0" w:line="240" w:lineRule="auto"/>
        <w:contextualSpacing/>
        <w:jc w:val="center"/>
        <w:rPr>
          <w:rFonts w:ascii="Times New Roman" w:eastAsia="Times New Roman" w:hAnsi="Times New Roman" w:cs="Times New Roman"/>
          <w:b/>
          <w:sz w:val="24"/>
          <w:szCs w:val="24"/>
          <w:lang w:val="ro-RO"/>
        </w:rPr>
      </w:pPr>
      <w:r w:rsidRPr="002A1A6E">
        <w:rPr>
          <w:rFonts w:ascii="Times New Roman" w:eastAsia="Times New Roman" w:hAnsi="Times New Roman" w:cs="Times New Roman"/>
          <w:b/>
          <w:noProof/>
          <w:sz w:val="24"/>
          <w:szCs w:val="24"/>
          <w:lang w:val="ro-RO" w:eastAsia="ro-RO"/>
        </w:rPr>
        <w:drawing>
          <wp:inline distT="0" distB="0" distL="0" distR="0" wp14:anchorId="37A882B8" wp14:editId="56ABAB07">
            <wp:extent cx="5772150" cy="2466975"/>
            <wp:effectExtent l="0" t="0" r="0" b="9525"/>
            <wp:docPr id="9" name="Diagramă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D10C4C" w14:textId="77777777" w:rsidR="002A1A6E" w:rsidRPr="002A1A6E" w:rsidRDefault="002A1A6E" w:rsidP="002A1A6E">
      <w:pPr>
        <w:tabs>
          <w:tab w:val="left" w:pos="993"/>
        </w:tabs>
        <w:autoSpaceDE w:val="0"/>
        <w:autoSpaceDN w:val="0"/>
        <w:adjustRightInd w:val="0"/>
        <w:spacing w:after="0" w:line="240" w:lineRule="auto"/>
        <w:ind w:firstLine="426"/>
        <w:rPr>
          <w:rFonts w:ascii="Times New Roman" w:eastAsia="Times New Roman" w:hAnsi="Times New Roman" w:cs="Times New Roman"/>
          <w:b/>
          <w:bCs/>
          <w:i/>
          <w:sz w:val="24"/>
          <w:szCs w:val="24"/>
          <w:lang w:val="ro-RO"/>
        </w:rPr>
      </w:pPr>
    </w:p>
    <w:p w14:paraId="0ED1855F" w14:textId="77777777" w:rsidR="002A1A6E" w:rsidRPr="002A1A6E" w:rsidRDefault="002A1A6E" w:rsidP="002A1A6E">
      <w:pPr>
        <w:tabs>
          <w:tab w:val="left" w:pos="284"/>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2A1A6E">
        <w:rPr>
          <w:rFonts w:ascii="Times New Roman" w:eastAsia="Times New Roman" w:hAnsi="Times New Roman" w:cs="Times New Roman"/>
          <w:sz w:val="24"/>
          <w:szCs w:val="24"/>
          <w:lang w:val="ro-RO" w:eastAsia="ro-RO"/>
        </w:rPr>
        <w:tab/>
        <w:t>În anul 2019, în educația timpurie, raportul mediu dintre numărul de copii și numărul de educatori a constituit 14,6 persoane, unui educator din mediul urban îi reveneau 15,3 copii, iar din mediul rural – 14,1 copii.</w:t>
      </w:r>
    </w:p>
    <w:p w14:paraId="7B8D2131" w14:textId="3A88414B" w:rsidR="000F554F" w:rsidRDefault="008B4F02">
      <w:r>
        <w:t xml:space="preserve"> </w:t>
      </w:r>
      <w:proofErr w:type="spellStart"/>
      <w:r>
        <w:t>Sursa</w:t>
      </w:r>
      <w:proofErr w:type="spellEnd"/>
      <w:r>
        <w:t>: BNS</w:t>
      </w:r>
    </w:p>
    <w:sectPr w:rsidR="000F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6E"/>
    <w:rsid w:val="001317DA"/>
    <w:rsid w:val="002A1A6E"/>
    <w:rsid w:val="0053748F"/>
    <w:rsid w:val="008B4F02"/>
    <w:rsid w:val="00A30D0E"/>
    <w:rsid w:val="00A96B70"/>
    <w:rsid w:val="00B900E5"/>
    <w:rsid w:val="00D11836"/>
    <w:rsid w:val="00E8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AA6C"/>
  <w15:chartTrackingRefBased/>
  <w15:docId w15:val="{406C8281-8A83-447F-B988-6AD1D10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hyperlink" Target="https://statistica.gov.md/pageview.php?l=ro&amp;id=6306&amp;idc=6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spPr>
        <a:noFill/>
        <a:ln w="12700">
          <a:noFill/>
        </a:ln>
      </c:spPr>
    </c:floor>
    <c:sideWall>
      <c:thickness val="0"/>
      <c:spPr>
        <a:noFill/>
        <a:ln w="25400">
          <a:noFill/>
        </a:ln>
      </c:spPr>
    </c:sideWall>
    <c:backWall>
      <c:thickness val="0"/>
      <c:spPr>
        <a:noFill/>
        <a:ln w="25400">
          <a:noFill/>
        </a:ln>
      </c:spPr>
    </c:backWall>
    <c:plotArea>
      <c:layout>
        <c:manualLayout>
          <c:layoutTarget val="inner"/>
          <c:xMode val="edge"/>
          <c:yMode val="edge"/>
          <c:x val="8.3260395559363459E-2"/>
          <c:y val="2.1007328212413828E-2"/>
          <c:w val="0.91058345686063857"/>
          <c:h val="0.78839975278319585"/>
        </c:manualLayout>
      </c:layout>
      <c:area3DChart>
        <c:grouping val="stacked"/>
        <c:varyColors val="0"/>
        <c:ser>
          <c:idx val="0"/>
          <c:order val="0"/>
          <c:tx>
            <c:strRef>
              <c:f>Sheet1!$B$1</c:f>
              <c:strCache>
                <c:ptCount val="1"/>
                <c:pt idx="0">
                  <c:v>Copii</c:v>
                </c:pt>
              </c:strCache>
            </c:strRef>
          </c:tx>
          <c:spPr>
            <a:solidFill>
              <a:srgbClr val="2683C6"/>
            </a:solidFill>
          </c:spP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130041</c:v>
                </c:pt>
                <c:pt idx="1">
                  <c:v>135427</c:v>
                </c:pt>
                <c:pt idx="2">
                  <c:v>141083</c:v>
                </c:pt>
                <c:pt idx="3">
                  <c:v>145296</c:v>
                </c:pt>
                <c:pt idx="4">
                  <c:v>147733</c:v>
                </c:pt>
                <c:pt idx="5">
                  <c:v>149936</c:v>
                </c:pt>
                <c:pt idx="6">
                  <c:v>150177</c:v>
                </c:pt>
                <c:pt idx="7">
                  <c:v>149216</c:v>
                </c:pt>
                <c:pt idx="8">
                  <c:v>149513</c:v>
                </c:pt>
                <c:pt idx="9">
                  <c:v>149702</c:v>
                </c:pt>
              </c:numCache>
            </c:numRef>
          </c:val>
          <c:extLst xmlns:c16r2="http://schemas.microsoft.com/office/drawing/2015/06/chart">
            <c:ext xmlns:c16="http://schemas.microsoft.com/office/drawing/2014/chart" uri="{C3380CC4-5D6E-409C-BE32-E72D297353CC}">
              <c16:uniqueId val="{00000000-B6C1-40A9-AF39-F8428031C49F}"/>
            </c:ext>
          </c:extLst>
        </c:ser>
        <c:dLbls>
          <c:showLegendKey val="0"/>
          <c:showVal val="0"/>
          <c:showCatName val="0"/>
          <c:showSerName val="0"/>
          <c:showPercent val="0"/>
          <c:showBubbleSize val="0"/>
        </c:dLbls>
        <c:dropLines>
          <c:spPr>
            <a:ln w="9510" cap="flat" cmpd="sng" algn="ctr">
              <a:solidFill>
                <a:schemeClr val="tx1">
                  <a:lumMod val="35000"/>
                  <a:lumOff val="65000"/>
                </a:schemeClr>
              </a:solidFill>
              <a:round/>
            </a:ln>
            <a:effectLst/>
          </c:spPr>
        </c:dropLines>
        <c:axId val="222975840"/>
        <c:axId val="222976232"/>
        <c:axId val="0"/>
      </c:area3DChart>
      <c:catAx>
        <c:axId val="222975840"/>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o-RO"/>
          </a:p>
        </c:txPr>
        <c:crossAx val="222976232"/>
        <c:crosses val="autoZero"/>
        <c:auto val="1"/>
        <c:lblAlgn val="ctr"/>
        <c:lblOffset val="100"/>
        <c:noMultiLvlLbl val="0"/>
      </c:catAx>
      <c:valAx>
        <c:axId val="222976232"/>
        <c:scaling>
          <c:orientation val="minMax"/>
        </c:scaling>
        <c:delete val="0"/>
        <c:axPos val="l"/>
        <c:majorGridlines>
          <c:spPr>
            <a:ln w="9510" cap="flat" cmpd="sng" algn="ctr">
              <a:solidFill>
                <a:schemeClr val="tx1">
                  <a:lumMod val="15000"/>
                  <a:lumOff val="85000"/>
                </a:schemeClr>
              </a:solidFill>
              <a:round/>
            </a:ln>
            <a:effectLst/>
          </c:spPr>
        </c:majorGridlines>
        <c:numFmt formatCode="General" sourceLinked="1"/>
        <c:majorTickMark val="out"/>
        <c:minorTickMark val="none"/>
        <c:tickLblPos val="nextTo"/>
        <c:spPr>
          <a:ln w="12680">
            <a:noFill/>
          </a:ln>
        </c:spPr>
        <c:txPr>
          <a:bodyPr rot="-60000000" spcFirstLastPara="1" vertOverflow="ellipsis" vert="horz" wrap="square" anchor="ctr" anchorCtr="1"/>
          <a:lstStyle/>
          <a:p>
            <a:pPr>
              <a:defRPr lang="en-US"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o-RO"/>
          </a:p>
        </c:txPr>
        <c:crossAx val="222975840"/>
        <c:crosses val="autoZero"/>
        <c:crossBetween val="midCat"/>
      </c:valAx>
      <c:dTable>
        <c:showHorzBorder val="1"/>
        <c:showVertBorder val="1"/>
        <c:showOutline val="1"/>
        <c:showKeys val="1"/>
        <c:spPr>
          <a:noFill/>
          <a:ln w="9510" cap="flat" cmpd="sng" algn="ctr">
            <a:solidFill>
              <a:schemeClr val="tx1">
                <a:lumMod val="15000"/>
                <a:lumOff val="85000"/>
              </a:schemeClr>
            </a:solidFill>
            <a:round/>
          </a:ln>
          <a:effectLst/>
        </c:spPr>
        <c:txPr>
          <a:bodyPr rot="0" spcFirstLastPara="1" vertOverflow="ellipsis" vert="horz" wrap="square" anchor="ctr" anchorCtr="1"/>
          <a:lstStyle/>
          <a:p>
            <a:pPr rtl="0">
              <a:defRPr lang="en-US" sz="898"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o-RO"/>
          </a:p>
        </c:txPr>
      </c:dTable>
    </c:plotArea>
    <c:plotVisOnly val="1"/>
    <c:dispBlanksAs val="gap"/>
    <c:showDLblsOverMax val="0"/>
  </c:chart>
  <c:spPr>
    <a:solidFill>
      <a:schemeClr val="bg1"/>
    </a:solidFill>
    <a:ln w="9510"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669291338582699E-2"/>
          <c:y val="5.4931335830212272E-2"/>
          <c:w val="0.90849737532808394"/>
          <c:h val="0.71498933419839394"/>
        </c:manualLayout>
      </c:layout>
      <c:barChart>
        <c:barDir val="col"/>
        <c:grouping val="clustered"/>
        <c:varyColors val="0"/>
        <c:ser>
          <c:idx val="0"/>
          <c:order val="0"/>
          <c:tx>
            <c:strRef>
              <c:f>Sheet1!$B$1</c:f>
              <c:strCache>
                <c:ptCount val="1"/>
                <c:pt idx="0">
                  <c:v>Total</c:v>
                </c:pt>
              </c:strCache>
            </c:strRef>
          </c:tx>
          <c:spPr>
            <a:solidFill>
              <a:schemeClr val="accent1">
                <a:tint val="65000"/>
              </a:schemeClr>
            </a:solidFill>
            <a:ln>
              <a:noFill/>
            </a:ln>
            <a:effectLst>
              <a:outerShdw blurRad="50800" dist="38100" dir="10800000" algn="r" rotWithShape="0">
                <a:prstClr val="black">
                  <a:alpha val="40000"/>
                </a:prstClr>
              </a:outerShdw>
            </a:effectLst>
          </c:spPr>
          <c:invertIfNegative val="0"/>
          <c:dLbls>
            <c:spPr>
              <a:noFill/>
              <a:ln w="19712">
                <a:noFill/>
              </a:ln>
            </c:spPr>
            <c:txPr>
              <a:bodyPr rot="0" spcFirstLastPara="1" vertOverflow="ellipsis" vert="horz" wrap="square" lIns="38100" tIns="19050" rIns="38100" bIns="19050" anchor="ctr" anchorCtr="1">
                <a:spAutoFit/>
              </a:bodyPr>
              <a:lstStyle/>
              <a:p>
                <a:pPr>
                  <a:defRPr lang="en-US" sz="698"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2010</c:v>
                </c:pt>
                <c:pt idx="1">
                  <c:v>2015</c:v>
                </c:pt>
                <c:pt idx="2">
                  <c:v>2016</c:v>
                </c:pt>
                <c:pt idx="3">
                  <c:v>2017</c:v>
                </c:pt>
                <c:pt idx="4">
                  <c:v>2018</c:v>
                </c:pt>
                <c:pt idx="5">
                  <c:v>2019</c:v>
                </c:pt>
              </c:numCache>
            </c:numRef>
          </c:cat>
          <c:val>
            <c:numRef>
              <c:f>Sheet1!$B$2:$B$7</c:f>
              <c:numCache>
                <c:formatCode>General</c:formatCode>
                <c:ptCount val="6"/>
                <c:pt idx="0">
                  <c:v>1381</c:v>
                </c:pt>
                <c:pt idx="1">
                  <c:v>1461</c:v>
                </c:pt>
                <c:pt idx="2">
                  <c:v>1469</c:v>
                </c:pt>
                <c:pt idx="3">
                  <c:v>1458</c:v>
                </c:pt>
                <c:pt idx="4">
                  <c:v>1484</c:v>
                </c:pt>
                <c:pt idx="5">
                  <c:v>1486</c:v>
                </c:pt>
              </c:numCache>
            </c:numRef>
          </c:val>
          <c:extLst xmlns:c16r2="http://schemas.microsoft.com/office/drawing/2015/06/chart">
            <c:ext xmlns:c16="http://schemas.microsoft.com/office/drawing/2014/chart" uri="{C3380CC4-5D6E-409C-BE32-E72D297353CC}">
              <c16:uniqueId val="{00000000-85B8-4FCB-B9EC-00775478EC00}"/>
            </c:ext>
          </c:extLst>
        </c:ser>
        <c:ser>
          <c:idx val="1"/>
          <c:order val="1"/>
          <c:tx>
            <c:strRef>
              <c:f>Sheet1!$C$1</c:f>
              <c:strCache>
                <c:ptCount val="1"/>
                <c:pt idx="0">
                  <c:v>Urban</c:v>
                </c:pt>
              </c:strCache>
            </c:strRef>
          </c:tx>
          <c:spPr>
            <a:solidFill>
              <a:schemeClr val="accent1"/>
            </a:solidFill>
            <a:ln>
              <a:noFill/>
            </a:ln>
            <a:effectLst>
              <a:outerShdw blurRad="50800" dist="38100" dir="10800000" algn="r" rotWithShape="0">
                <a:prstClr val="black">
                  <a:alpha val="40000"/>
                </a:prstClr>
              </a:outerShdw>
            </a:effectLst>
          </c:spPr>
          <c:invertIfNegative val="0"/>
          <c:dLbls>
            <c:spPr>
              <a:noFill/>
              <a:ln w="19712">
                <a:noFill/>
              </a:ln>
            </c:spPr>
            <c:txPr>
              <a:bodyPr rot="0" spcFirstLastPara="1" vertOverflow="ellipsis" vert="horz" wrap="square" lIns="38100" tIns="19050" rIns="38100" bIns="19050" anchor="ctr" anchorCtr="1">
                <a:spAutoFit/>
              </a:bodyPr>
              <a:lstStyle/>
              <a:p>
                <a:pPr>
                  <a:defRPr lang="en-US" sz="698"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2010</c:v>
                </c:pt>
                <c:pt idx="1">
                  <c:v>2015</c:v>
                </c:pt>
                <c:pt idx="2">
                  <c:v>2016</c:v>
                </c:pt>
                <c:pt idx="3">
                  <c:v>2017</c:v>
                </c:pt>
                <c:pt idx="4">
                  <c:v>2018</c:v>
                </c:pt>
                <c:pt idx="5">
                  <c:v>2019</c:v>
                </c:pt>
              </c:numCache>
            </c:numRef>
          </c:cat>
          <c:val>
            <c:numRef>
              <c:f>Sheet1!$C$2:$C$7</c:f>
              <c:numCache>
                <c:formatCode>General</c:formatCode>
                <c:ptCount val="6"/>
                <c:pt idx="0">
                  <c:v>318</c:v>
                </c:pt>
                <c:pt idx="1">
                  <c:v>329</c:v>
                </c:pt>
                <c:pt idx="2">
                  <c:v>332</c:v>
                </c:pt>
                <c:pt idx="3">
                  <c:v>330</c:v>
                </c:pt>
                <c:pt idx="4">
                  <c:v>346</c:v>
                </c:pt>
                <c:pt idx="5">
                  <c:v>347</c:v>
                </c:pt>
              </c:numCache>
            </c:numRef>
          </c:val>
          <c:extLst xmlns:c16r2="http://schemas.microsoft.com/office/drawing/2015/06/chart">
            <c:ext xmlns:c16="http://schemas.microsoft.com/office/drawing/2014/chart" uri="{C3380CC4-5D6E-409C-BE32-E72D297353CC}">
              <c16:uniqueId val="{00000001-85B8-4FCB-B9EC-00775478EC00}"/>
            </c:ext>
          </c:extLst>
        </c:ser>
        <c:ser>
          <c:idx val="2"/>
          <c:order val="2"/>
          <c:tx>
            <c:strRef>
              <c:f>Sheet1!$D$1</c:f>
              <c:strCache>
                <c:ptCount val="1"/>
                <c:pt idx="0">
                  <c:v>Rural</c:v>
                </c:pt>
              </c:strCache>
            </c:strRef>
          </c:tx>
          <c:spPr>
            <a:solidFill>
              <a:schemeClr val="accent1">
                <a:shade val="65000"/>
              </a:schemeClr>
            </a:solidFill>
            <a:ln>
              <a:noFill/>
            </a:ln>
            <a:effectLst>
              <a:outerShdw blurRad="50800" dist="38100" dir="10800000" algn="r" rotWithShape="0">
                <a:prstClr val="black">
                  <a:alpha val="40000"/>
                </a:prstClr>
              </a:outerShdw>
            </a:effectLst>
          </c:spPr>
          <c:invertIfNegative val="0"/>
          <c:dLbls>
            <c:spPr>
              <a:noFill/>
              <a:ln w="19712">
                <a:noFill/>
              </a:ln>
            </c:spPr>
            <c:txPr>
              <a:bodyPr rot="0" spcFirstLastPara="1" vertOverflow="ellipsis" vert="horz" wrap="square" lIns="38100" tIns="19050" rIns="38100" bIns="19050" anchor="ctr" anchorCtr="1">
                <a:spAutoFit/>
              </a:bodyPr>
              <a:lstStyle/>
              <a:p>
                <a:pPr>
                  <a:defRPr lang="en-US" sz="698"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2010</c:v>
                </c:pt>
                <c:pt idx="1">
                  <c:v>2015</c:v>
                </c:pt>
                <c:pt idx="2">
                  <c:v>2016</c:v>
                </c:pt>
                <c:pt idx="3">
                  <c:v>2017</c:v>
                </c:pt>
                <c:pt idx="4">
                  <c:v>2018</c:v>
                </c:pt>
                <c:pt idx="5">
                  <c:v>2019</c:v>
                </c:pt>
              </c:numCache>
            </c:numRef>
          </c:cat>
          <c:val>
            <c:numRef>
              <c:f>Sheet1!$D$2:$D$7</c:f>
              <c:numCache>
                <c:formatCode>General</c:formatCode>
                <c:ptCount val="6"/>
                <c:pt idx="0">
                  <c:v>1063</c:v>
                </c:pt>
                <c:pt idx="1">
                  <c:v>1132</c:v>
                </c:pt>
                <c:pt idx="2">
                  <c:v>1137</c:v>
                </c:pt>
                <c:pt idx="3">
                  <c:v>1126</c:v>
                </c:pt>
                <c:pt idx="4">
                  <c:v>1138</c:v>
                </c:pt>
                <c:pt idx="5">
                  <c:v>1139</c:v>
                </c:pt>
              </c:numCache>
            </c:numRef>
          </c:val>
          <c:extLst xmlns:c16r2="http://schemas.microsoft.com/office/drawing/2015/06/chart">
            <c:ext xmlns:c16="http://schemas.microsoft.com/office/drawing/2014/chart" uri="{C3380CC4-5D6E-409C-BE32-E72D297353CC}">
              <c16:uniqueId val="{00000002-85B8-4FCB-B9EC-00775478EC00}"/>
            </c:ext>
          </c:extLst>
        </c:ser>
        <c:dLbls>
          <c:showLegendKey val="0"/>
          <c:showVal val="0"/>
          <c:showCatName val="0"/>
          <c:showSerName val="0"/>
          <c:showPercent val="0"/>
          <c:showBubbleSize val="0"/>
        </c:dLbls>
        <c:gapWidth val="199"/>
        <c:axId val="222977408"/>
        <c:axId val="222973792"/>
      </c:barChart>
      <c:catAx>
        <c:axId val="222977408"/>
        <c:scaling>
          <c:orientation val="minMax"/>
        </c:scaling>
        <c:delete val="0"/>
        <c:axPos val="b"/>
        <c:numFmt formatCode="General" sourceLinked="1"/>
        <c:majorTickMark val="none"/>
        <c:minorTickMark val="none"/>
        <c:tickLblPos val="nextTo"/>
        <c:spPr>
          <a:noFill/>
          <a:ln w="7391"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698" b="0" i="0" u="none" strike="noStrike" kern="1200" cap="none" spc="0" normalizeH="0" baseline="0">
                <a:solidFill>
                  <a:schemeClr val="tx1">
                    <a:lumMod val="65000"/>
                    <a:lumOff val="35000"/>
                  </a:schemeClr>
                </a:solidFill>
                <a:latin typeface="+mn-lt"/>
                <a:ea typeface="+mn-ea"/>
                <a:cs typeface="+mn-cs"/>
              </a:defRPr>
            </a:pPr>
            <a:endParaRPr lang="ro-RO"/>
          </a:p>
        </c:txPr>
        <c:crossAx val="222973792"/>
        <c:crosses val="autoZero"/>
        <c:auto val="1"/>
        <c:lblAlgn val="ctr"/>
        <c:lblOffset val="100"/>
        <c:noMultiLvlLbl val="0"/>
      </c:catAx>
      <c:valAx>
        <c:axId val="222973792"/>
        <c:scaling>
          <c:orientation val="minMax"/>
        </c:scaling>
        <c:delete val="0"/>
        <c:axPos val="l"/>
        <c:majorGridlines>
          <c:spPr>
            <a:ln w="7391" cap="flat" cmpd="sng" algn="ctr">
              <a:solidFill>
                <a:schemeClr val="accent1">
                  <a:alpha val="32000"/>
                </a:schemeClr>
              </a:solidFill>
              <a:round/>
            </a:ln>
            <a:effectLst/>
          </c:spPr>
        </c:majorGridlines>
        <c:minorGridlines>
          <c:spPr>
            <a:ln w="7391" cap="flat" cmpd="sng" algn="ctr">
              <a:solidFill>
                <a:schemeClr val="tx1">
                  <a:lumMod val="5000"/>
                  <a:lumOff val="95000"/>
                </a:schemeClr>
              </a:solidFill>
              <a:round/>
            </a:ln>
            <a:effectLst/>
          </c:spPr>
        </c:minorGridlines>
        <c:title>
          <c:tx>
            <c:rich>
              <a:bodyPr/>
              <a:lstStyle/>
              <a:p>
                <a:pPr>
                  <a:defRPr sz="697" b="0" i="0" u="none" strike="noStrike" baseline="0">
                    <a:solidFill>
                      <a:srgbClr val="333333"/>
                    </a:solidFill>
                    <a:latin typeface="Calibri"/>
                    <a:ea typeface="Calibri"/>
                    <a:cs typeface="Calibri"/>
                  </a:defRPr>
                </a:pPr>
                <a:r>
                  <a:rPr lang="ro-RO"/>
                  <a:t>%</a:t>
                </a:r>
              </a:p>
            </c:rich>
          </c:tx>
          <c:layout>
            <c:manualLayout>
              <c:xMode val="edge"/>
              <c:yMode val="edge"/>
              <c:x val="7.9734219269102985E-2"/>
              <c:y val="6.9756981816121902E-2"/>
            </c:manualLayout>
          </c:layout>
          <c:overlay val="0"/>
          <c:spPr>
            <a:noFill/>
            <a:ln w="19712">
              <a:noFill/>
            </a:ln>
          </c:spPr>
        </c:title>
        <c:numFmt formatCode="General" sourceLinked="1"/>
        <c:majorTickMark val="none"/>
        <c:minorTickMark val="none"/>
        <c:tickLblPos val="nextTo"/>
        <c:spPr>
          <a:ln w="9856">
            <a:noFill/>
          </a:ln>
        </c:spPr>
        <c:txPr>
          <a:bodyPr rot="-60000000" spcFirstLastPara="1" vertOverflow="ellipsis" vert="horz" wrap="square" anchor="ctr" anchorCtr="1"/>
          <a:lstStyle/>
          <a:p>
            <a:pPr>
              <a:defRPr lang="en-US" sz="698" b="0" i="0" u="none" strike="noStrike" kern="1200" baseline="0">
                <a:solidFill>
                  <a:schemeClr val="tx1">
                    <a:lumMod val="65000"/>
                    <a:lumOff val="35000"/>
                  </a:schemeClr>
                </a:solidFill>
                <a:latin typeface="+mn-lt"/>
                <a:ea typeface="+mn-ea"/>
                <a:cs typeface="+mn-cs"/>
              </a:defRPr>
            </a:pPr>
            <a:endParaRPr lang="ro-RO"/>
          </a:p>
        </c:txPr>
        <c:crossAx val="222977408"/>
        <c:crosses val="autoZero"/>
        <c:crossBetween val="between"/>
      </c:valAx>
      <c:spPr>
        <a:noFill/>
        <a:ln w="25845">
          <a:noFill/>
        </a:ln>
      </c:spPr>
    </c:plotArea>
    <c:legend>
      <c:legendPos val="r"/>
      <c:layout>
        <c:manualLayout>
          <c:xMode val="edge"/>
          <c:yMode val="edge"/>
          <c:x val="0.37713309092177433"/>
          <c:y val="0.91199984893974584"/>
          <c:w val="0.24402734541903187"/>
          <c:h val="8.8000151060254161E-2"/>
        </c:manualLayout>
      </c:layout>
      <c:overlay val="0"/>
      <c:spPr>
        <a:noFill/>
        <a:ln w="19712">
          <a:noFill/>
        </a:ln>
      </c:spPr>
      <c:txPr>
        <a:bodyPr rot="0" spcFirstLastPara="1" vertOverflow="ellipsis" vert="horz" wrap="square" anchor="ctr" anchorCtr="1"/>
        <a:lstStyle/>
        <a:p>
          <a:pPr>
            <a:defRPr lang="en-US" sz="698"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7391" cap="flat" cmpd="sng" algn="ctr">
      <a:solidFill>
        <a:schemeClr val="tx1">
          <a:lumMod val="15000"/>
          <a:lumOff val="85000"/>
        </a:schemeClr>
      </a:solidFill>
      <a:round/>
    </a:ln>
    <a:effectLst>
      <a:outerShdw blurRad="50800" dist="38100" dir="10800000" algn="r" rotWithShape="0">
        <a:prstClr val="black">
          <a:alpha val="40000"/>
        </a:prstClr>
      </a:outerShdw>
    </a:effectLst>
  </c:spPr>
  <c:txPr>
    <a:bodyPr/>
    <a:lstStyle/>
    <a:p>
      <a:pPr>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890091863517064E-2"/>
          <c:y val="0.15426634170728659"/>
          <c:w val="0.90849737532808394"/>
          <c:h val="0.72992719660042493"/>
        </c:manualLayout>
      </c:layout>
      <c:bar3DChart>
        <c:barDir val="col"/>
        <c:grouping val="standard"/>
        <c:varyColors val="0"/>
        <c:ser>
          <c:idx val="0"/>
          <c:order val="0"/>
          <c:tx>
            <c:strRef>
              <c:f>Foaie1!$B$1</c:f>
              <c:strCache>
                <c:ptCount val="1"/>
                <c:pt idx="0">
                  <c:v>până la 3ani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Foaie1!$A$2:$A$8</c:f>
              <c:strCache>
                <c:ptCount val="6"/>
                <c:pt idx="0">
                  <c:v>Total</c:v>
                </c:pt>
                <c:pt idx="1">
                  <c:v>mun. Chișinău</c:v>
                </c:pt>
                <c:pt idx="2">
                  <c:v>Nord</c:v>
                </c:pt>
                <c:pt idx="3">
                  <c:v>Centru</c:v>
                </c:pt>
                <c:pt idx="4">
                  <c:v>Sud</c:v>
                </c:pt>
                <c:pt idx="5">
                  <c:v>UTA Găgăuzia</c:v>
                </c:pt>
              </c:strCache>
            </c:strRef>
          </c:cat>
          <c:val>
            <c:numRef>
              <c:f>Foaie1!$B$2:$B$8</c:f>
              <c:numCache>
                <c:formatCode>General</c:formatCode>
                <c:ptCount val="7"/>
                <c:pt idx="0">
                  <c:v>11.2</c:v>
                </c:pt>
                <c:pt idx="1">
                  <c:v>9.6999999999999993</c:v>
                </c:pt>
                <c:pt idx="2">
                  <c:v>12.7</c:v>
                </c:pt>
                <c:pt idx="3">
                  <c:v>10.199999999999999</c:v>
                </c:pt>
                <c:pt idx="4">
                  <c:v>13.2</c:v>
                </c:pt>
                <c:pt idx="5">
                  <c:v>12.6</c:v>
                </c:pt>
                <c:pt idx="6">
                  <c:v>0</c:v>
                </c:pt>
              </c:numCache>
            </c:numRef>
          </c:val>
          <c:extLst xmlns:c16r2="http://schemas.microsoft.com/office/drawing/2015/06/chart">
            <c:ext xmlns:c16="http://schemas.microsoft.com/office/drawing/2014/chart" uri="{C3380CC4-5D6E-409C-BE32-E72D297353CC}">
              <c16:uniqueId val="{00000000-956F-4E29-B18A-51E0B88E1911}"/>
            </c:ext>
          </c:extLst>
        </c:ser>
        <c:ser>
          <c:idx val="1"/>
          <c:order val="1"/>
          <c:tx>
            <c:strRef>
              <c:f>Foaie1!$C$1</c:f>
              <c:strCache>
                <c:ptCount val="1"/>
                <c:pt idx="0">
                  <c:v>3 ani peste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Foaie1!$A$2:$A$8</c:f>
              <c:strCache>
                <c:ptCount val="6"/>
                <c:pt idx="0">
                  <c:v>Total</c:v>
                </c:pt>
                <c:pt idx="1">
                  <c:v>mun. Chișinău</c:v>
                </c:pt>
                <c:pt idx="2">
                  <c:v>Nord</c:v>
                </c:pt>
                <c:pt idx="3">
                  <c:v>Centru</c:v>
                </c:pt>
                <c:pt idx="4">
                  <c:v>Sud</c:v>
                </c:pt>
                <c:pt idx="5">
                  <c:v>UTA Găgăuzia</c:v>
                </c:pt>
              </c:strCache>
            </c:strRef>
          </c:cat>
          <c:val>
            <c:numRef>
              <c:f>Foaie1!$C$2:$C$8</c:f>
              <c:numCache>
                <c:formatCode>General</c:formatCode>
                <c:ptCount val="7"/>
                <c:pt idx="0">
                  <c:v>88.8</c:v>
                </c:pt>
                <c:pt idx="1">
                  <c:v>90.3</c:v>
                </c:pt>
                <c:pt idx="2">
                  <c:v>87.3</c:v>
                </c:pt>
                <c:pt idx="3">
                  <c:v>89.8</c:v>
                </c:pt>
                <c:pt idx="4">
                  <c:v>86.8</c:v>
                </c:pt>
                <c:pt idx="5">
                  <c:v>87.4</c:v>
                </c:pt>
                <c:pt idx="6">
                  <c:v>0</c:v>
                </c:pt>
              </c:numCache>
            </c:numRef>
          </c:val>
          <c:extLst xmlns:c16r2="http://schemas.microsoft.com/office/drawing/2015/06/chart">
            <c:ext xmlns:c16="http://schemas.microsoft.com/office/drawing/2014/chart" uri="{C3380CC4-5D6E-409C-BE32-E72D297353CC}">
              <c16:uniqueId val="{00000001-956F-4E29-B18A-51E0B88E1911}"/>
            </c:ext>
          </c:extLst>
        </c:ser>
        <c:dLbls>
          <c:showLegendKey val="0"/>
          <c:showVal val="1"/>
          <c:showCatName val="0"/>
          <c:showSerName val="0"/>
          <c:showPercent val="0"/>
          <c:showBubbleSize val="0"/>
        </c:dLbls>
        <c:gapWidth val="65"/>
        <c:shape val="box"/>
        <c:axId val="222974576"/>
        <c:axId val="222974968"/>
        <c:axId val="223049416"/>
      </c:bar3DChart>
      <c:catAx>
        <c:axId val="222974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o-RO"/>
          </a:p>
        </c:txPr>
        <c:crossAx val="222974968"/>
        <c:crosses val="autoZero"/>
        <c:auto val="1"/>
        <c:lblAlgn val="ctr"/>
        <c:lblOffset val="100"/>
        <c:noMultiLvlLbl val="0"/>
      </c:catAx>
      <c:valAx>
        <c:axId val="2229749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crossAx val="222974576"/>
        <c:crosses val="autoZero"/>
        <c:crossBetween val="between"/>
      </c:valAx>
      <c:serAx>
        <c:axId val="22304941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crossAx val="222974968"/>
        <c:crosses val="autoZero"/>
      </c:ser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633110965296018"/>
          <c:y val="5.8432934926958877E-2"/>
          <c:w val="0.60651811752697582"/>
          <c:h val="0.5674017839403539"/>
        </c:manualLayout>
      </c:layout>
      <c:barChart>
        <c:barDir val="col"/>
        <c:grouping val="clustered"/>
        <c:varyColors val="0"/>
        <c:ser>
          <c:idx val="0"/>
          <c:order val="0"/>
          <c:tx>
            <c:strRef>
              <c:f>Sheet1!$B$1</c:f>
              <c:strCache>
                <c:ptCount val="1"/>
                <c:pt idx="0">
                  <c:v>Instituții de ed. timpurie</c:v>
                </c:pt>
              </c:strCache>
            </c:strRef>
          </c:tx>
          <c:spPr>
            <a:gradFill rotWithShape="1">
              <a:gsLst>
                <a:gs pos="0">
                  <a:schemeClr val="accent1">
                    <a:shade val="15000"/>
                    <a:satMod val="180000"/>
                  </a:schemeClr>
                </a:gs>
                <a:gs pos="50000">
                  <a:schemeClr val="accent1">
                    <a:shade val="45000"/>
                    <a:satMod val="170000"/>
                  </a:schemeClr>
                </a:gs>
                <a:gs pos="70000">
                  <a:schemeClr val="accent1">
                    <a:tint val="99000"/>
                    <a:shade val="65000"/>
                    <a:satMod val="155000"/>
                  </a:schemeClr>
                </a:gs>
                <a:gs pos="100000">
                  <a:schemeClr val="accent1">
                    <a:tint val="95500"/>
                    <a:shade val="100000"/>
                    <a:satMod val="155000"/>
                  </a:schemeClr>
                </a:gs>
              </a:gsLst>
              <a:lin ang="16200000" scaled="0"/>
            </a:gra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rgbClr r="0" g="0" b="0">
                  <a:satMod val="300000"/>
                </a:scrgbClr>
              </a:contourClr>
            </a:sp3d>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1381</c:v>
                </c:pt>
                <c:pt idx="1">
                  <c:v>1400</c:v>
                </c:pt>
                <c:pt idx="2">
                  <c:v>1418</c:v>
                </c:pt>
                <c:pt idx="3">
                  <c:v>1440</c:v>
                </c:pt>
                <c:pt idx="4">
                  <c:v>1453</c:v>
                </c:pt>
                <c:pt idx="5">
                  <c:v>1461</c:v>
                </c:pt>
                <c:pt idx="6">
                  <c:v>1469</c:v>
                </c:pt>
                <c:pt idx="7">
                  <c:v>1458</c:v>
                </c:pt>
                <c:pt idx="8">
                  <c:v>1484</c:v>
                </c:pt>
                <c:pt idx="9">
                  <c:v>1486</c:v>
                </c:pt>
              </c:numCache>
            </c:numRef>
          </c:val>
          <c:extLst xmlns:c16r2="http://schemas.microsoft.com/office/drawing/2015/06/chart">
            <c:ext xmlns:c16="http://schemas.microsoft.com/office/drawing/2014/chart" uri="{C3380CC4-5D6E-409C-BE32-E72D297353CC}">
              <c16:uniqueId val="{00000000-3587-42C0-B76C-ECB400D742C7}"/>
            </c:ext>
          </c:extLst>
        </c:ser>
        <c:dLbls>
          <c:showLegendKey val="0"/>
          <c:showVal val="0"/>
          <c:showCatName val="0"/>
          <c:showSerName val="0"/>
          <c:showPercent val="0"/>
          <c:showBubbleSize val="0"/>
        </c:dLbls>
        <c:gapWidth val="175"/>
        <c:axId val="225286016"/>
        <c:axId val="225286408"/>
      </c:barChart>
      <c:lineChart>
        <c:grouping val="standard"/>
        <c:varyColors val="0"/>
        <c:ser>
          <c:idx val="1"/>
          <c:order val="1"/>
          <c:tx>
            <c:strRef>
              <c:f>Sheet1!$C$1</c:f>
              <c:strCache>
                <c:ptCount val="1"/>
                <c:pt idx="0">
                  <c:v>Cadre didactice</c:v>
                </c:pt>
              </c:strCache>
            </c:strRef>
          </c:tx>
          <c:spPr>
            <a:ln w="34925" cap="rnd">
              <a:solidFill>
                <a:schemeClr val="accent2"/>
              </a:solidFill>
              <a:round/>
            </a:ln>
            <a:effectLst>
              <a:outerShdw blurRad="63500" dist="38100" dir="5400000" rotWithShape="0">
                <a:srgbClr val="000000">
                  <a:alpha val="45000"/>
                </a:srgbClr>
              </a:outerShdw>
            </a:effectLst>
          </c:spPr>
          <c:marker>
            <c:symbol val="circle"/>
            <c:size val="6"/>
            <c:spPr>
              <a:gradFill rotWithShape="1">
                <a:gsLst>
                  <a:gs pos="0">
                    <a:schemeClr val="accent2">
                      <a:shade val="15000"/>
                      <a:satMod val="180000"/>
                    </a:schemeClr>
                  </a:gs>
                  <a:gs pos="50000">
                    <a:schemeClr val="accent2">
                      <a:shade val="45000"/>
                      <a:satMod val="170000"/>
                    </a:schemeClr>
                  </a:gs>
                  <a:gs pos="70000">
                    <a:schemeClr val="accent2">
                      <a:tint val="99000"/>
                      <a:shade val="65000"/>
                      <a:satMod val="155000"/>
                    </a:schemeClr>
                  </a:gs>
                  <a:gs pos="100000">
                    <a:schemeClr val="accent2">
                      <a:tint val="95500"/>
                      <a:shade val="100000"/>
                      <a:satMod val="155000"/>
                    </a:schemeClr>
                  </a:gs>
                </a:gsLst>
                <a:lin ang="16200000" scaled="0"/>
              </a:gradFill>
              <a:ln w="9525">
                <a:solidFill>
                  <a:schemeClr val="accent2"/>
                </a:solidFill>
                <a:round/>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rgbClr r="0" g="0" b="0">
                    <a:satMod val="300000"/>
                  </a:scrgbClr>
                </a:contourClr>
              </a:sp3d>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11961</c:v>
                </c:pt>
                <c:pt idx="1">
                  <c:v>12330</c:v>
                </c:pt>
                <c:pt idx="2">
                  <c:v>12532</c:v>
                </c:pt>
                <c:pt idx="3">
                  <c:v>12334</c:v>
                </c:pt>
                <c:pt idx="4">
                  <c:v>12431</c:v>
                </c:pt>
                <c:pt idx="5">
                  <c:v>12575</c:v>
                </c:pt>
                <c:pt idx="6">
                  <c:v>12640</c:v>
                </c:pt>
                <c:pt idx="7">
                  <c:v>12559</c:v>
                </c:pt>
                <c:pt idx="8">
                  <c:v>12785</c:v>
                </c:pt>
                <c:pt idx="9">
                  <c:v>12839</c:v>
                </c:pt>
              </c:numCache>
            </c:numRef>
          </c:val>
          <c:smooth val="0"/>
          <c:extLst xmlns:c16r2="http://schemas.microsoft.com/office/drawing/2015/06/chart">
            <c:ext xmlns:c16="http://schemas.microsoft.com/office/drawing/2014/chart" uri="{C3380CC4-5D6E-409C-BE32-E72D297353CC}">
              <c16:uniqueId val="{00000001-3587-42C0-B76C-ECB400D742C7}"/>
            </c:ext>
          </c:extLst>
        </c:ser>
        <c:dLbls>
          <c:showLegendKey val="0"/>
          <c:showVal val="0"/>
          <c:showCatName val="0"/>
          <c:showSerName val="0"/>
          <c:showPercent val="0"/>
          <c:showBubbleSize val="0"/>
        </c:dLbls>
        <c:marker val="1"/>
        <c:smooth val="0"/>
        <c:axId val="225287192"/>
        <c:axId val="225286800"/>
      </c:lineChart>
      <c:catAx>
        <c:axId val="225286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25286408"/>
        <c:crosses val="autoZero"/>
        <c:auto val="1"/>
        <c:lblAlgn val="ctr"/>
        <c:lblOffset val="100"/>
        <c:noMultiLvlLbl val="0"/>
      </c:catAx>
      <c:valAx>
        <c:axId val="225286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25286016"/>
        <c:crosses val="autoZero"/>
        <c:crossBetween val="between"/>
      </c:valAx>
      <c:valAx>
        <c:axId val="22528680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25287192"/>
        <c:crosses val="max"/>
        <c:crossBetween val="between"/>
      </c:valAx>
      <c:catAx>
        <c:axId val="225287192"/>
        <c:scaling>
          <c:orientation val="minMax"/>
        </c:scaling>
        <c:delete val="1"/>
        <c:axPos val="b"/>
        <c:numFmt formatCode="General" sourceLinked="1"/>
        <c:majorTickMark val="none"/>
        <c:minorTickMark val="none"/>
        <c:tickLblPos val="nextTo"/>
        <c:crossAx val="225286800"/>
        <c:crosses val="autoZero"/>
        <c:auto val="1"/>
        <c:lblAlgn val="ctr"/>
        <c:lblOffset val="100"/>
        <c:noMultiLvlLbl val="0"/>
      </c:cat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3808</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Bezu</dc:creator>
  <cp:keywords/>
  <dc:description/>
  <cp:lastModifiedBy>user</cp:lastModifiedBy>
  <cp:revision>5</cp:revision>
  <dcterms:created xsi:type="dcterms:W3CDTF">2021-03-29T06:16:00Z</dcterms:created>
  <dcterms:modified xsi:type="dcterms:W3CDTF">2021-04-12T12:04:00Z</dcterms:modified>
</cp:coreProperties>
</file>